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eastAsia="zh-CN"/>
        </w:rPr>
        <w:t>岢岚县安庆源能源有限公司年加工30万吨铝土矿建设项目</w:t>
      </w:r>
    </w:p>
    <w:p>
      <w:pPr>
        <w:widowControl/>
        <w:wordWrap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</w:rPr>
        <w:t>竣工环境保护验收信息公示</w:t>
      </w:r>
    </w:p>
    <w:p>
      <w:pPr>
        <w:widowControl/>
        <w:wordWrap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 　</w:t>
      </w:r>
      <w:r>
        <w:rPr>
          <w:rFonts w:hint="eastAsia" w:ascii="宋体" w:hAnsi="宋体" w:eastAsia="宋体" w:cs="宋体"/>
          <w:color w:val="000000"/>
          <w:kern w:val="0"/>
          <w:sz w:val="28"/>
          <w:szCs w:val="21"/>
          <w:lang w:eastAsia="zh-CN"/>
        </w:rPr>
        <w:t>岢岚县安庆源能源有限公司年加工30万吨铝土矿建设项目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执行了环境影响评价制度，基本落实了环评报告及其批复提出的环保设施和要求。基本具备竣工环境保护设施验收条件，现将项目竣工环境保护验收备案信息公示，公示内容如下。</w:t>
      </w:r>
    </w:p>
    <w:p>
      <w:pPr>
        <w:widowControl/>
        <w:wordWrap/>
        <w:spacing w:beforeAutospacing="0" w:afterAutospacing="0" w:line="360" w:lineRule="auto"/>
        <w:jc w:val="both"/>
        <w:textAlignment w:val="auto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　　一、项目概况</w:t>
      </w:r>
    </w:p>
    <w:p>
      <w:pPr>
        <w:pStyle w:val="9"/>
        <w:wordWrap/>
        <w:spacing w:beforeAutospacing="0" w:afterAutospacing="0"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lang w:eastAsia="zh-CN"/>
        </w:rPr>
        <w:t>岢岚县安庆源能源有限公司年加工30万吨铝土矿建设项目</w:t>
      </w:r>
      <w:r>
        <w:rPr>
          <w:rFonts w:hint="eastAsia" w:ascii="宋体" w:hAnsi="宋体" w:eastAsia="宋体" w:cs="宋体"/>
          <w:bCs/>
          <w:lang w:bidi="en-US"/>
        </w:rPr>
        <w:t>于</w:t>
      </w:r>
      <w:r>
        <w:rPr>
          <w:rFonts w:hint="eastAsia" w:ascii="宋体" w:hAnsi="宋体" w:eastAsia="宋体"/>
          <w:sz w:val="28"/>
          <w:szCs w:val="28"/>
          <w:lang w:eastAsia="zh-CN" w:bidi="en-US"/>
        </w:rPr>
        <w:t>岢岚县高家会乡西会村</w:t>
      </w:r>
      <w:r>
        <w:rPr>
          <w:rFonts w:hint="eastAsia" w:ascii="宋体" w:hAnsi="宋体" w:eastAsia="宋体" w:cs="宋体"/>
          <w:lang w:bidi="en-US"/>
        </w:rPr>
        <w:t>。本</w:t>
      </w:r>
      <w:r>
        <w:rPr>
          <w:rFonts w:hint="eastAsia" w:ascii="宋体" w:hAnsi="宋体" w:eastAsia="宋体" w:cs="宋体"/>
          <w:lang w:eastAsia="zh-CN" w:bidi="en-US"/>
        </w:rPr>
        <w:t>项目</w:t>
      </w:r>
      <w:r>
        <w:rPr>
          <w:rFonts w:hint="eastAsia" w:ascii="宋体" w:hAnsi="宋体" w:eastAsia="宋体" w:cs="宋体"/>
          <w:lang w:bidi="en-US"/>
        </w:rPr>
        <w:t>总投资</w:t>
      </w:r>
      <w:r>
        <w:rPr>
          <w:rFonts w:hint="eastAsia" w:ascii="宋体" w:hAnsi="宋体" w:eastAsia="宋体" w:cs="宋体"/>
          <w:lang w:val="en-US" w:eastAsia="zh-CN" w:bidi="en-US"/>
        </w:rPr>
        <w:t>2008</w:t>
      </w:r>
      <w:r>
        <w:rPr>
          <w:rFonts w:hint="eastAsia" w:ascii="宋体" w:hAnsi="宋体" w:eastAsia="宋体" w:cs="宋体"/>
          <w:lang w:bidi="en-US"/>
        </w:rPr>
        <w:t>万元</w:t>
      </w:r>
      <w:r>
        <w:rPr>
          <w:rFonts w:hint="eastAsia" w:ascii="宋体" w:hAnsi="宋体" w:eastAsia="宋体"/>
          <w:sz w:val="28"/>
          <w:szCs w:val="28"/>
          <w:lang w:bidi="en-US"/>
        </w:rPr>
        <w:t>（环保投资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66</w:t>
      </w:r>
      <w:r>
        <w:rPr>
          <w:rFonts w:hint="eastAsia" w:ascii="宋体" w:hAnsi="宋体" w:eastAsia="宋体"/>
          <w:sz w:val="28"/>
          <w:szCs w:val="28"/>
          <w:lang w:bidi="en-US"/>
        </w:rPr>
        <w:t>万元）</w:t>
      </w:r>
      <w:r>
        <w:rPr>
          <w:rFonts w:hint="eastAsia" w:ascii="宋体" w:hAnsi="宋体" w:eastAsia="宋体" w:cs="宋体"/>
          <w:lang w:bidi="en-US"/>
        </w:rPr>
        <w:t>。</w:t>
      </w:r>
      <w:r>
        <w:rPr>
          <w:rFonts w:hint="eastAsia" w:ascii="宋体" w:hAnsi="宋体" w:eastAsia="宋体" w:cs="宋体"/>
          <w:lang w:eastAsia="zh-CN" w:bidi="en-US"/>
        </w:rPr>
        <w:t>年加工铝土矿</w:t>
      </w:r>
      <w:r>
        <w:rPr>
          <w:rFonts w:hint="eastAsia" w:ascii="宋体" w:hAnsi="宋体" w:eastAsia="宋体" w:cs="宋体"/>
          <w:lang w:val="en-US" w:eastAsia="zh-CN" w:bidi="en-US"/>
        </w:rPr>
        <w:t>30万吨。</w:t>
      </w:r>
      <w:r>
        <w:rPr>
          <w:rFonts w:hint="eastAsia" w:ascii="宋体" w:hAnsi="宋体" w:eastAsia="宋体"/>
          <w:sz w:val="28"/>
          <w:szCs w:val="28"/>
          <w:lang w:bidi="en-US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6</w:t>
      </w:r>
      <w:r>
        <w:rPr>
          <w:rFonts w:hint="eastAsia" w:ascii="宋体" w:hAnsi="宋体" w:eastAsia="宋体"/>
          <w:sz w:val="28"/>
          <w:szCs w:val="28"/>
          <w:lang w:bidi="en-US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12</w:t>
      </w:r>
      <w:r>
        <w:rPr>
          <w:rFonts w:hint="eastAsia" w:ascii="宋体" w:hAnsi="宋体" w:eastAsia="宋体"/>
          <w:sz w:val="28"/>
          <w:szCs w:val="28"/>
          <w:lang w:bidi="en-US"/>
        </w:rPr>
        <w:t>日，</w:t>
      </w:r>
      <w:r>
        <w:rPr>
          <w:rFonts w:hint="eastAsia" w:ascii="宋体" w:hAnsi="宋体" w:eastAsia="宋体"/>
          <w:sz w:val="28"/>
          <w:szCs w:val="28"/>
          <w:lang w:eastAsia="zh-CN" w:bidi="en-US"/>
        </w:rPr>
        <w:t>岢岚县发展和改革局</w:t>
      </w:r>
      <w:r>
        <w:rPr>
          <w:rFonts w:hint="eastAsia" w:ascii="宋体" w:hAnsi="宋体" w:eastAsia="宋体"/>
          <w:sz w:val="28"/>
          <w:szCs w:val="28"/>
          <w:lang w:bidi="en-US"/>
        </w:rPr>
        <w:t>对本项目进行了立项批复（</w:t>
      </w:r>
      <w:r>
        <w:rPr>
          <w:rFonts w:hint="eastAsia" w:ascii="宋体" w:hAnsi="宋体" w:eastAsia="宋体"/>
          <w:sz w:val="28"/>
          <w:szCs w:val="28"/>
          <w:lang w:eastAsia="zh-CN" w:bidi="en-US"/>
        </w:rPr>
        <w:t>岢发改</w:t>
      </w:r>
      <w:r>
        <w:rPr>
          <w:rFonts w:hint="eastAsia" w:ascii="宋体" w:hAnsi="宋体" w:eastAsia="宋体"/>
          <w:sz w:val="28"/>
          <w:szCs w:val="28"/>
          <w:lang w:bidi="en-US"/>
        </w:rPr>
        <w:t>备案[201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]年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号），</w:t>
      </w:r>
    </w:p>
    <w:p>
      <w:pPr>
        <w:widowControl/>
        <w:wordWrap/>
        <w:adjustRightInd/>
        <w:snapToGrid/>
        <w:spacing w:beforeAutospacing="0" w:afterAutospacing="0" w:line="360" w:lineRule="auto"/>
        <w:ind w:left="0" w:leftChars="0" w:right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二、环境影响评价制度执行情况</w:t>
      </w:r>
    </w:p>
    <w:p>
      <w:pPr>
        <w:ind w:firstLine="560" w:firstLineChars="200"/>
        <w:rPr>
          <w:rFonts w:ascii="宋体" w:hAnsi="宋体" w:eastAsia="宋体"/>
          <w:sz w:val="28"/>
          <w:szCs w:val="28"/>
          <w:lang w:bidi="en-US"/>
        </w:rPr>
      </w:pPr>
      <w:r>
        <w:rPr>
          <w:rFonts w:hint="eastAsia" w:ascii="宋体" w:hAnsi="宋体" w:eastAsia="宋体"/>
          <w:sz w:val="28"/>
          <w:szCs w:val="28"/>
          <w:lang w:bidi="en-US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月委托</w:t>
      </w:r>
      <w:r>
        <w:rPr>
          <w:rFonts w:hint="eastAsia" w:ascii="宋体" w:hAnsi="宋体" w:eastAsia="宋体"/>
          <w:sz w:val="28"/>
          <w:szCs w:val="28"/>
          <w:lang w:eastAsia="zh-CN" w:bidi="en-US"/>
        </w:rPr>
        <w:t>河南源通环保工程有限公司</w:t>
      </w:r>
      <w:r>
        <w:rPr>
          <w:rFonts w:hint="eastAsia" w:ascii="宋体" w:hAnsi="宋体" w:eastAsia="宋体"/>
          <w:sz w:val="28"/>
          <w:szCs w:val="28"/>
          <w:lang w:bidi="en-US"/>
        </w:rPr>
        <w:t>编制了本项目环境影响评价报告表，201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8</w:t>
      </w:r>
      <w:r>
        <w:rPr>
          <w:rFonts w:hint="eastAsia" w:ascii="宋体" w:hAnsi="宋体" w:eastAsia="宋体"/>
          <w:sz w:val="28"/>
          <w:szCs w:val="28"/>
          <w:lang w:bidi="en-US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16</w:t>
      </w:r>
      <w:r>
        <w:rPr>
          <w:rFonts w:hint="eastAsia" w:ascii="宋体" w:hAnsi="宋体" w:eastAsia="宋体"/>
          <w:sz w:val="28"/>
          <w:szCs w:val="28"/>
          <w:lang w:bidi="en-US"/>
        </w:rPr>
        <w:t>日</w:t>
      </w:r>
      <w:r>
        <w:rPr>
          <w:rFonts w:hint="eastAsia" w:ascii="宋体" w:hAnsi="宋体" w:eastAsia="宋体"/>
          <w:sz w:val="28"/>
          <w:szCs w:val="28"/>
          <w:lang w:eastAsia="zh-CN" w:bidi="en-US"/>
        </w:rPr>
        <w:t>岢岚县</w:t>
      </w:r>
      <w:r>
        <w:rPr>
          <w:rFonts w:hint="eastAsia" w:ascii="宋体" w:hAnsi="宋体" w:eastAsia="宋体"/>
          <w:sz w:val="28"/>
          <w:szCs w:val="28"/>
          <w:lang w:bidi="en-US"/>
        </w:rPr>
        <w:t>环保局</w:t>
      </w:r>
      <w:r>
        <w:rPr>
          <w:rFonts w:hint="eastAsia" w:ascii="宋体" w:hAnsi="宋体" w:eastAsia="宋体"/>
          <w:sz w:val="28"/>
          <w:szCs w:val="28"/>
          <w:lang w:eastAsia="zh-CN" w:bidi="en-US"/>
        </w:rPr>
        <w:t>岢环函</w:t>
      </w:r>
      <w:r>
        <w:rPr>
          <w:rFonts w:hint="eastAsia" w:ascii="宋体" w:hAnsi="宋体" w:eastAsia="宋体"/>
          <w:sz w:val="28"/>
          <w:szCs w:val="28"/>
          <w:lang w:bidi="en-US"/>
        </w:rPr>
        <w:t>[201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7</w:t>
      </w:r>
      <w:r>
        <w:rPr>
          <w:rFonts w:hint="eastAsia" w:ascii="宋体" w:hAnsi="宋体" w:eastAsia="宋体"/>
          <w:sz w:val="28"/>
          <w:szCs w:val="28"/>
          <w:lang w:bidi="en-US"/>
        </w:rPr>
        <w:t>]</w:t>
      </w:r>
      <w:r>
        <w:rPr>
          <w:rFonts w:hint="eastAsia" w:ascii="宋体" w:hAnsi="宋体" w:eastAsia="宋体"/>
          <w:sz w:val="28"/>
          <w:szCs w:val="28"/>
          <w:lang w:val="en-US" w:eastAsia="zh-CN" w:bidi="en-US"/>
        </w:rPr>
        <w:t>12</w:t>
      </w:r>
      <w:r>
        <w:rPr>
          <w:rFonts w:hint="eastAsia" w:ascii="宋体" w:hAnsi="宋体" w:eastAsia="宋体"/>
          <w:sz w:val="28"/>
          <w:szCs w:val="28"/>
          <w:lang w:bidi="en-US"/>
        </w:rPr>
        <w:t>号对本项目作出环评批复。</w:t>
      </w:r>
    </w:p>
    <w:p>
      <w:pPr>
        <w:widowControl/>
        <w:wordWrap/>
        <w:spacing w:beforeAutospacing="0" w:afterAutospacing="0" w:line="360" w:lineRule="auto"/>
        <w:ind w:firstLine="555"/>
        <w:jc w:val="both"/>
        <w:textAlignment w:val="auto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三、环评及批复提出的环境保护设施完成情况</w:t>
      </w:r>
    </w:p>
    <w:p>
      <w:pPr>
        <w:wordWrap/>
        <w:spacing w:beforeAutospacing="0" w:afterAutospacing="0" w:line="360" w:lineRule="auto"/>
        <w:ind w:left="3" w:hanging="3" w:hangingChars="1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1"/>
        </w:rPr>
      </w:pPr>
      <w:r>
        <w:rPr>
          <w:rFonts w:hint="eastAsia" w:ascii="宋体" w:hAnsi="宋体" w:eastAsia="宋体" w:cs="宋体"/>
          <w:b/>
          <w:bCs/>
          <w:sz w:val="28"/>
          <w:szCs w:val="21"/>
        </w:rPr>
        <w:t>表1   环评中提出的环保措施执行情况</w:t>
      </w:r>
    </w:p>
    <w:tbl>
      <w:tblPr>
        <w:tblW w:w="86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91"/>
        <w:gridCol w:w="929"/>
        <w:gridCol w:w="4035"/>
        <w:gridCol w:w="1312"/>
        <w:gridCol w:w="848"/>
      </w:tblGrid>
      <w:tr>
        <w:trPr>
          <w:trHeight w:val="558" w:hRule="atLeast"/>
        </w:trPr>
        <w:tc>
          <w:tcPr>
            <w:tcW w:w="434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内容</w:t>
            </w:r>
          </w:p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污染源</w:t>
            </w:r>
          </w:p>
        </w:tc>
        <w:tc>
          <w:tcPr>
            <w:tcW w:w="929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污染物名称</w:t>
            </w:r>
          </w:p>
        </w:tc>
        <w:tc>
          <w:tcPr>
            <w:tcW w:w="4035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治理</w:t>
            </w:r>
            <w:r>
              <w:rPr>
                <w:color w:val="auto"/>
                <w:sz w:val="21"/>
                <w:szCs w:val="21"/>
              </w:rPr>
              <w:t>措施</w:t>
            </w:r>
          </w:p>
        </w:tc>
        <w:tc>
          <w:tcPr>
            <w:tcW w:w="1312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台（套）数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执行情况</w:t>
            </w:r>
          </w:p>
        </w:tc>
      </w:tr>
      <w:tr>
        <w:trPr>
          <w:trHeight w:val="838" w:hRule="atLeast"/>
        </w:trPr>
        <w:tc>
          <w:tcPr>
            <w:tcW w:w="434" w:type="dxa"/>
            <w:vMerge w:val="restart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大气</w:t>
            </w:r>
          </w:p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污染物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破碎筛分系统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粉尘</w:t>
            </w:r>
          </w:p>
        </w:tc>
        <w:tc>
          <w:tcPr>
            <w:tcW w:w="4035" w:type="dxa"/>
            <w:vAlign w:val="center"/>
          </w:tcPr>
          <w:p>
            <w:pPr>
              <w:spacing w:line="320" w:lineRule="atLeas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鄂式破碎机上料口、下料口、筛分机上料口安装半封闭集气罩，收集的粉尘一同进入布袋除尘器，集气效率90%，除尘效率99%，处理后的粉尘由15米以上的排气筒排出，生产车间全封闭</w:t>
            </w:r>
          </w:p>
        </w:tc>
        <w:tc>
          <w:tcPr>
            <w:tcW w:w="1312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1套布袋除尘器，1个排气筒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189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atLeast"/>
              <w:jc w:val="center"/>
              <w:rPr>
                <w:rFonts w:hint="eastAsia"/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原料堆场、产品库及装卸工序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扬尘</w:t>
            </w:r>
          </w:p>
        </w:tc>
        <w:tc>
          <w:tcPr>
            <w:tcW w:w="4035" w:type="dxa"/>
            <w:vAlign w:val="center"/>
          </w:tcPr>
          <w:p>
            <w:pPr>
              <w:spacing w:line="32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原料堆场、产品堆场地面硬化，厂区四面设置挡风抑尘网+苫盖；厂区配套洒水装置，定时洒水</w:t>
            </w:r>
          </w:p>
        </w:tc>
        <w:tc>
          <w:tcPr>
            <w:tcW w:w="1312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--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28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皮带输送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粉尘</w:t>
            </w:r>
          </w:p>
        </w:tc>
        <w:tc>
          <w:tcPr>
            <w:tcW w:w="4035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全密闭</w:t>
            </w:r>
          </w:p>
        </w:tc>
        <w:tc>
          <w:tcPr>
            <w:tcW w:w="1312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--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243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4"/>
                <w:szCs w:val="21"/>
              </w:rPr>
              <w:t>交通运输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color w:val="auto"/>
                <w:spacing w:val="-6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粉尘</w:t>
            </w:r>
          </w:p>
        </w:tc>
        <w:tc>
          <w:tcPr>
            <w:tcW w:w="4035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硬化路面，洒水抑尘，加盖蓬布</w:t>
            </w:r>
          </w:p>
        </w:tc>
        <w:tc>
          <w:tcPr>
            <w:tcW w:w="1312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--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243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pacing w:val="4"/>
                <w:szCs w:val="21"/>
              </w:rPr>
            </w:pPr>
            <w:r>
              <w:rPr>
                <w:rFonts w:hint="eastAsia"/>
                <w:color w:val="auto"/>
                <w:spacing w:val="4"/>
                <w:szCs w:val="21"/>
              </w:rPr>
              <w:t>食堂油烟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油烟</w:t>
            </w:r>
          </w:p>
        </w:tc>
        <w:tc>
          <w:tcPr>
            <w:tcW w:w="4035" w:type="dxa"/>
            <w:vAlign w:val="center"/>
          </w:tcPr>
          <w:p>
            <w:pPr>
              <w:spacing w:line="280" w:lineRule="exact"/>
              <w:jc w:val="left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安装油烟净化装置</w:t>
            </w:r>
          </w:p>
        </w:tc>
        <w:tc>
          <w:tcPr>
            <w:tcW w:w="1312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1套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190" w:hRule="atLeast"/>
        </w:trPr>
        <w:tc>
          <w:tcPr>
            <w:tcW w:w="434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水污</w:t>
            </w:r>
          </w:p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染物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生活污水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COD、SS BOD</w:t>
            </w:r>
            <w:r>
              <w:rPr>
                <w:rFonts w:hint="eastAsia"/>
                <w:color w:val="auto"/>
                <w:szCs w:val="21"/>
                <w:vertAlign w:val="subscript"/>
              </w:rPr>
              <w:t>5</w:t>
            </w:r>
            <w:r>
              <w:rPr>
                <w:rFonts w:hint="eastAsia"/>
                <w:color w:val="auto"/>
                <w:szCs w:val="21"/>
              </w:rPr>
              <w:t>、氨氮</w:t>
            </w:r>
          </w:p>
        </w:tc>
        <w:tc>
          <w:tcPr>
            <w:tcW w:w="53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化粪池处理，环卫局定期清运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547" w:hRule="atLeast"/>
        </w:trPr>
        <w:tc>
          <w:tcPr>
            <w:tcW w:w="434" w:type="dxa"/>
            <w:vMerge w:val="restart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固体</w:t>
            </w:r>
          </w:p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废物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除尘器收集的粉尘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粉尘</w:t>
            </w:r>
          </w:p>
        </w:tc>
        <w:tc>
          <w:tcPr>
            <w:tcW w:w="53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封闭库房暂存，收集后袋装外售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809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工作人员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生活垃圾</w:t>
            </w:r>
          </w:p>
        </w:tc>
        <w:tc>
          <w:tcPr>
            <w:tcW w:w="5347" w:type="dxa"/>
            <w:gridSpan w:val="2"/>
            <w:vAlign w:val="center"/>
          </w:tcPr>
          <w:p>
            <w:pPr>
              <w:pStyle w:val="3"/>
              <w:spacing w:line="280" w:lineRule="exact"/>
              <w:ind w:firstLine="0"/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环评要求在厂区内设置封闭的垃圾箱，集中收集，</w:t>
            </w:r>
            <w:r>
              <w:rPr>
                <w:color w:val="auto"/>
                <w:sz w:val="21"/>
                <w:szCs w:val="21"/>
              </w:rPr>
              <w:t>定期清运至当地环卫部门指定地点，由环卫部门统一处理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已执行</w:t>
            </w:r>
          </w:p>
        </w:tc>
      </w:tr>
      <w:tr>
        <w:trPr>
          <w:trHeight w:val="478" w:hRule="atLeast"/>
        </w:trPr>
        <w:tc>
          <w:tcPr>
            <w:tcW w:w="434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噪声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破碎机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振动筛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噪声</w:t>
            </w:r>
          </w:p>
        </w:tc>
        <w:tc>
          <w:tcPr>
            <w:tcW w:w="53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振动筛置于室内并封闭车间，生产设备通过室内安装、进行基础减震， 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已执行</w:t>
            </w:r>
          </w:p>
        </w:tc>
      </w:tr>
      <w:tr>
        <w:trPr>
          <w:trHeight w:val="331" w:hRule="atLeast"/>
        </w:trPr>
        <w:tc>
          <w:tcPr>
            <w:tcW w:w="434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绿化</w:t>
            </w:r>
          </w:p>
        </w:tc>
        <w:tc>
          <w:tcPr>
            <w:tcW w:w="7367" w:type="dxa"/>
            <w:gridSpan w:val="4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绿化面积</w:t>
            </w:r>
            <w:r>
              <w:rPr>
                <w:rFonts w:hint="eastAsia"/>
                <w:color w:val="auto"/>
                <w:sz w:val="21"/>
                <w:szCs w:val="21"/>
              </w:rPr>
              <w:t>4600m</w:t>
            </w:r>
            <w:r>
              <w:rPr>
                <w:rFonts w:hint="eastAsia"/>
                <w:color w:val="auto"/>
                <w:sz w:val="21"/>
                <w:szCs w:val="21"/>
                <w:vertAlign w:val="superscript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，</w:t>
            </w:r>
            <w:r>
              <w:rPr>
                <w:color w:val="auto"/>
                <w:sz w:val="21"/>
                <w:szCs w:val="21"/>
              </w:rPr>
              <w:t>绿化率达</w:t>
            </w:r>
            <w:r>
              <w:rPr>
                <w:rFonts w:hint="eastAsia"/>
                <w:color w:val="auto"/>
                <w:sz w:val="21"/>
                <w:szCs w:val="21"/>
              </w:rPr>
              <w:t>20</w:t>
            </w:r>
            <w:r>
              <w:rPr>
                <w:color w:val="auto"/>
                <w:sz w:val="21"/>
                <w:szCs w:val="21"/>
              </w:rPr>
              <w:t>％</w:t>
            </w:r>
          </w:p>
        </w:tc>
        <w:tc>
          <w:tcPr>
            <w:tcW w:w="848" w:type="dxa"/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正在进行</w:t>
            </w:r>
          </w:p>
        </w:tc>
      </w:tr>
    </w:tbl>
    <w:p>
      <w:pPr>
        <w:wordWrap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表2    环评批复中提出的环保措施执行情况</w:t>
      </w:r>
    </w:p>
    <w:tbl>
      <w:tblPr>
        <w:tblW w:w="88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0"/>
        <w:gridCol w:w="1694"/>
      </w:tblGrid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环评批复要求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实施情况</w:t>
            </w:r>
          </w:p>
        </w:tc>
      </w:tr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认真落实施工期污水，扬尘、噪声、固废等污染防治措施。施工期设置临时沉淀池；严格限制施工范围，施工边界设置围挡，落实遮盖、洒水抑尘等措施；建筑施工场界噪声应满足《建筑施工场界环境噪声排放标准》(GB12523-2011)要求；建筑垃圾和生活垃圾应分类收集，及时送往环卫部门指定地点进行处置。施工期结束后及时做好厂区及周边植被和生态恢复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已实施</w:t>
            </w:r>
          </w:p>
        </w:tc>
      </w:tr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2、落实生活污水处理措施。生活污水经化粪池后由环卫部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门定期清运。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已实施</w:t>
            </w:r>
          </w:p>
        </w:tc>
      </w:tr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3、落实大气污染防治措施。原料堆场、产品堆场地面硬化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并苫盖，厂区四面设置挡风抑尘网，并配套洒水装置，定时洒水；生产车间全封闭，鄂式破碎机上料口、下料口、筛分机上料口安装半封闭集气罩，收集的粉尘一同进入布袋除尘器，处理后的粉尘由15米以上排气筒排出；输送皮带全封闭；厂区道路硬化，洒水抑尘，运输车辆加盖篷布。满足《铝工业污染物排放标准》( GB25465-2010)表5要求；食堂安装油烟净化装置，满足《饮食业油烟排放标准》(GB18483-2001)要求。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已实施</w:t>
            </w:r>
          </w:p>
        </w:tc>
      </w:tr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4、落实固体废物防治措施。除尘器收集的粉尘暂存封闭库房，收集后袋装外售，满足《-般工业固体废物贮存、处置场污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染控制标准》(GB18599-2001)规定。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已实施</w:t>
            </w:r>
          </w:p>
        </w:tc>
      </w:tr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5、落实噪声污染防治措施。生产设备置于封闭车间内，进行基础减震，满足《工业企业厂界环境噪声排放标准》(GB12348-2008)2类标准。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已实施</w:t>
            </w:r>
          </w:p>
        </w:tc>
      </w:tr>
      <w:tr>
        <w:tc>
          <w:tcPr>
            <w:tcW w:w="7140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6、落实项目区绿化措施。严禁占用绿化规划用地，保证绿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化效果。</w:t>
            </w:r>
          </w:p>
        </w:tc>
        <w:tc>
          <w:tcPr>
            <w:tcW w:w="169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正在绿化中</w:t>
            </w:r>
          </w:p>
        </w:tc>
      </w:tr>
    </w:tbl>
    <w:p>
      <w:pPr>
        <w:widowControl/>
        <w:wordWrap/>
        <w:spacing w:beforeAutospacing="0" w:afterAutospacing="0" w:line="360" w:lineRule="auto"/>
        <w:jc w:val="left"/>
        <w:textAlignment w:val="auto"/>
        <w:outlineLvl w:val="0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四、验收监测结论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1、有组织排放：筛分工序产生的粉尘经布袋除尘器处理后排放浓度低于《铝工业污染物排放标准》（GB25465-2010）规定的限值要求。</w:t>
      </w:r>
    </w:p>
    <w:p>
      <w:pPr>
        <w:autoSpaceDE w:val="0"/>
        <w:autoSpaceDN w:val="0"/>
        <w:adjustRightInd w:val="0"/>
        <w:spacing w:line="360" w:lineRule="auto"/>
        <w:ind w:firstLine="544" w:firstLineChars="200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2、无组织排放：厂界颗粒物无组织排放浓度均满足《大气污染物综合排放标准》（GB16297-1996）规定的无组织排放浓度限值要求。</w:t>
      </w:r>
    </w:p>
    <w:p>
      <w:pPr>
        <w:autoSpaceDE w:val="0"/>
        <w:autoSpaceDN w:val="0"/>
        <w:adjustRightInd w:val="0"/>
        <w:spacing w:line="360" w:lineRule="auto"/>
        <w:ind w:firstLine="544" w:firstLineChars="200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3、噪声监测结果：所有监测点昼夜噪声监测值均低于《工业企业厂界环境噪声排放标准》（GB12348-2008）中的2类标准要求。</w:t>
      </w:r>
    </w:p>
    <w:p>
      <w:pPr>
        <w:widowControl/>
        <w:wordWrap/>
        <w:spacing w:beforeAutospacing="0" w:afterAutospacing="0"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　　五、结论</w:t>
      </w:r>
    </w:p>
    <w:p>
      <w:pPr>
        <w:autoSpaceDE w:val="0"/>
        <w:autoSpaceDN w:val="0"/>
        <w:adjustRightInd w:val="0"/>
        <w:spacing w:line="360" w:lineRule="auto"/>
        <w:ind w:firstLine="544" w:firstLineChars="200"/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项目环境保护设施完好，手续齐全，根据实际情况落实了环评及其批复所提出各项环保措施。建成的环保设施符合设计、施工和使用要求，并能够确保各污染物达标排放，建设单位表示将严格按环境监测计划做好跟踪监测工作，及时掌握环境状况，对出现的环境污染问题采取进一步的治理措施。</w:t>
      </w:r>
    </w:p>
    <w:p>
      <w:pPr>
        <w:autoSpaceDE w:val="0"/>
        <w:autoSpaceDN w:val="0"/>
        <w:adjustRightInd w:val="0"/>
        <w:spacing w:line="360" w:lineRule="auto"/>
        <w:ind w:firstLine="544" w:firstLineChars="200"/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综上所述，岢岚县安庆源能源有限公司年加工30万吨铝土矿建设项目在环境保护方面基本符合竣工验收条件。</w:t>
      </w:r>
    </w:p>
    <w:p>
      <w:pPr>
        <w:widowControl/>
        <w:wordWrap/>
        <w:spacing w:beforeAutospacing="0" w:afterAutospacing="0" w:line="360" w:lineRule="auto"/>
        <w:ind w:firstLine="57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1"/>
        </w:rPr>
      </w:pPr>
    </w:p>
    <w:p>
      <w:pPr>
        <w:widowControl/>
        <w:wordWrap/>
        <w:spacing w:beforeAutospacing="0" w:afterAutospacing="0" w:line="360" w:lineRule="auto"/>
        <w:ind w:firstLine="570"/>
        <w:jc w:val="left"/>
        <w:textAlignment w:val="auto"/>
        <w:rPr>
          <w:rFonts w:hint="eastAsia" w:ascii="宋体" w:hAnsi="宋体" w:eastAsia="宋体" w:cs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ody Text Indent"/>
    <w:basedOn w:val="1"/>
    <w:semiHidden/>
    <w:unhideWhenUsed/>
    <w:qFormat/>
    <w:uiPriority w:val="99"/>
    <w:pPr>
      <w:ind w:firstLine="540"/>
    </w:pPr>
    <w:rPr>
      <w:rFonts w:ascii="黑体"/>
      <w:sz w:val="2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a正文排版格式"/>
    <w:basedOn w:val="1"/>
    <w:qFormat/>
    <w:uiPriority w:val="0"/>
    <w:pPr>
      <w:tabs>
        <w:tab w:val="left" w:pos="2520"/>
      </w:tabs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10">
    <w:name w:val="简单回函地址"/>
    <w:basedOn w:val="1"/>
    <w:qFormat/>
    <w:uiPriority w:val="0"/>
  </w:style>
  <w:style w:type="character" w:customStyle="1" w:styleId="11">
    <w:name w:val="页眉 Char Char"/>
    <w:basedOn w:val="7"/>
    <w:link w:val="5"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uiPriority w:val="99"/>
    <w:rPr>
      <w:sz w:val="18"/>
      <w:szCs w:val="18"/>
    </w:rPr>
  </w:style>
  <w:style w:type="character" w:customStyle="1" w:styleId="13">
    <w:name w:val="文档结构图 Char Char"/>
    <w:basedOn w:val="7"/>
    <w:link w:val="2"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</Company>
  <Pages>3</Pages>
  <Words>337</Words>
  <Characters>1921</Characters>
  <Lines>16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2017-12-06T02:31:00Z</dcterms:created>
  <dc:creator>D</dc:creator>
  <cp:lastModifiedBy>Administrator</cp:lastModifiedBy>
  <dcterms:modified xsi:type="dcterms:W3CDTF">2018-04-19T02:41:44Z</dcterms:modified>
  <dc:title>岢岚县安庆源能源有限公司年加工30万吨铝土矿建设项目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