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right="487"/>
        <w:rPr>
          <w:rStyle w:val="10"/>
          <w:rFonts w:ascii="宋体" w:hAnsi="宋体"/>
          <w:sz w:val="32"/>
          <w:szCs w:val="32"/>
        </w:rPr>
      </w:pPr>
    </w:p>
    <w:p>
      <w:pPr>
        <w:spacing w:line="900" w:lineRule="exact"/>
        <w:ind w:right="-40" w:firstLine="5440" w:firstLineChars="1700"/>
        <w:rPr>
          <w:rStyle w:val="10"/>
          <w:rFonts w:ascii="仿宋_GB2312" w:hAnsi="宋体" w:eastAsia="仿宋_GB2312"/>
          <w:sz w:val="32"/>
          <w:szCs w:val="32"/>
        </w:rPr>
      </w:pPr>
      <w:r>
        <w:rPr>
          <w:rStyle w:val="10"/>
          <w:rFonts w:ascii="仿宋_GB2312" w:hAnsi="宋体" w:eastAsia="仿宋_GB2312"/>
          <w:sz w:val="32"/>
          <w:szCs w:val="32"/>
        </w:rPr>
        <w:t>忻环评函〔2020〕14 号</w:t>
      </w:r>
    </w:p>
    <w:p>
      <w:pPr>
        <w:spacing w:line="520" w:lineRule="exact"/>
        <w:jc w:val="right"/>
        <w:rPr>
          <w:rStyle w:val="10"/>
          <w:rFonts w:ascii="仿宋_GB2312" w:eastAsia="仿宋_GB2312"/>
          <w:b/>
          <w:sz w:val="32"/>
          <w:szCs w:val="32"/>
        </w:rPr>
      </w:pPr>
    </w:p>
    <w:p>
      <w:pPr>
        <w:jc w:val="center"/>
        <w:rPr>
          <w:rStyle w:val="10"/>
          <w:rFonts w:ascii="方正小标宋简体" w:hAnsi="宋体" w:eastAsia="方正小标宋简体"/>
          <w:sz w:val="36"/>
          <w:szCs w:val="36"/>
        </w:rPr>
      </w:pPr>
      <w:r>
        <w:rPr>
          <w:rStyle w:val="10"/>
          <w:rFonts w:ascii="方正小标宋简体" w:hAnsi="宋体" w:eastAsia="方正小标宋简体"/>
          <w:sz w:val="36"/>
          <w:szCs w:val="36"/>
        </w:rPr>
        <w:t>关于山西冀武球团有限公司年产150万吨球团</w:t>
      </w:r>
    </w:p>
    <w:p>
      <w:pPr>
        <w:jc w:val="center"/>
        <w:rPr>
          <w:rStyle w:val="10"/>
          <w:rFonts w:ascii="方正小标宋简体" w:eastAsia="方正小标宋简体"/>
          <w:sz w:val="36"/>
          <w:szCs w:val="36"/>
        </w:rPr>
      </w:pPr>
      <w:r>
        <w:rPr>
          <w:rStyle w:val="10"/>
          <w:rFonts w:ascii="方正小标宋简体" w:hAnsi="宋体" w:eastAsia="方正小标宋简体"/>
          <w:sz w:val="36"/>
          <w:szCs w:val="36"/>
        </w:rPr>
        <w:t>项目环境影响报告书的批复</w:t>
      </w:r>
    </w:p>
    <w:p>
      <w:pPr>
        <w:spacing w:line="400" w:lineRule="exact"/>
        <w:rPr>
          <w:rStyle w:val="10"/>
          <w:b/>
          <w:sz w:val="32"/>
          <w:szCs w:val="32"/>
        </w:rPr>
      </w:pPr>
    </w:p>
    <w:p>
      <w:pPr>
        <w:keepNext w:val="0"/>
        <w:keepLines w:val="0"/>
        <w:pageBreakBefore w:val="0"/>
        <w:widowControl/>
        <w:kinsoku/>
        <w:wordWrap/>
        <w:overflowPunct/>
        <w:topLinePunct w:val="0"/>
        <w:autoSpaceDE/>
        <w:autoSpaceDN/>
        <w:bidi w:val="0"/>
        <w:adjustRightInd/>
        <w:snapToGrid/>
        <w:spacing w:line="580" w:lineRule="exact"/>
        <w:textAlignment w:val="baseline"/>
        <w:rPr>
          <w:rStyle w:val="10"/>
          <w:rFonts w:ascii="仿宋_GB2312" w:hAnsi="宋体" w:eastAsia="仿宋_GB2312"/>
          <w:sz w:val="32"/>
          <w:szCs w:val="32"/>
          <w:highlight w:val="none"/>
        </w:rPr>
      </w:pPr>
      <w:r>
        <w:rPr>
          <w:rStyle w:val="10"/>
          <w:rFonts w:ascii="仿宋_GB2312" w:hAnsi="宋体" w:eastAsia="仿宋_GB2312"/>
          <w:sz w:val="32"/>
          <w:szCs w:val="32"/>
          <w:highlight w:val="none"/>
        </w:rPr>
        <w:t>山西冀武球团有限公司：</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Style w:val="10"/>
          <w:rFonts w:ascii="仿宋_GB2312" w:hAnsi="宋体" w:eastAsia="仿宋_GB2312"/>
          <w:sz w:val="32"/>
          <w:szCs w:val="32"/>
          <w:highlight w:val="none"/>
        </w:rPr>
      </w:pPr>
      <w:r>
        <w:rPr>
          <w:rStyle w:val="10"/>
          <w:rFonts w:ascii="仿宋_GB2312" w:hAnsi="宋体" w:eastAsia="仿宋_GB2312"/>
          <w:sz w:val="32"/>
          <w:szCs w:val="32"/>
          <w:highlight w:val="none"/>
        </w:rPr>
        <w:t>你公司报送的《关于〈山西冀武球团有限公司年产150万吨球团项目环境影响报告书（以下简称《报告书》）〉报批的申请》收悉。经研究，批复如下：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Fonts w:ascii="仿宋_GB2312" w:hAnsi="宋体" w:eastAsia="仿宋_GB2312"/>
          <w:sz w:val="32"/>
          <w:szCs w:val="32"/>
          <w:highlight w:val="none"/>
        </w:rPr>
      </w:pPr>
      <w:r>
        <w:rPr>
          <w:rFonts w:hint="eastAsia" w:ascii="仿宋_GB2312" w:hAnsi="宋体" w:eastAsia="仿宋_GB2312"/>
          <w:sz w:val="32"/>
          <w:szCs w:val="32"/>
          <w:highlight w:val="none"/>
        </w:rPr>
        <w:t>一、你公司未经环保部门批准擅自开工建设，违反了环保有关法律规定，违法行为已经忻州市生态环境局繁峙分局以繁环法〔2020〕08号</w:t>
      </w:r>
      <w:r>
        <w:rPr>
          <w:rFonts w:hint="eastAsia" w:ascii="仿宋_GB2312" w:hAnsi="宋体" w:eastAsia="仿宋_GB2312"/>
          <w:sz w:val="32"/>
          <w:szCs w:val="32"/>
          <w:highlight w:val="none"/>
          <w:lang w:val="en-US" w:eastAsia="zh-CN"/>
        </w:rPr>
        <w:t>文</w:t>
      </w:r>
      <w:r>
        <w:rPr>
          <w:rFonts w:hint="eastAsia" w:ascii="仿宋_GB2312" w:hAnsi="宋体" w:eastAsia="仿宋_GB2312"/>
          <w:sz w:val="32"/>
          <w:szCs w:val="32"/>
          <w:highlight w:val="none"/>
        </w:rPr>
        <w:t>进行了查处。你公司必须加强管理，引以为戒，增强法律意识，杜绝类似的违法行为再次发生。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Style w:val="10"/>
          <w:rFonts w:ascii="仿宋_GB2312" w:eastAsia="仿宋_GB2312"/>
          <w:kern w:val="0"/>
          <w:sz w:val="32"/>
          <w:szCs w:val="32"/>
          <w:highlight w:val="none"/>
        </w:rPr>
      </w:pPr>
      <w:r>
        <w:rPr>
          <w:rStyle w:val="10"/>
          <w:rFonts w:hint="eastAsia" w:ascii="仿宋_GB2312" w:hAnsi="宋体" w:eastAsia="仿宋_GB2312"/>
          <w:sz w:val="32"/>
          <w:szCs w:val="32"/>
          <w:highlight w:val="none"/>
        </w:rPr>
        <w:t>二、</w:t>
      </w:r>
      <w:r>
        <w:rPr>
          <w:rStyle w:val="10"/>
          <w:rFonts w:ascii="仿宋_GB2312" w:hAnsi="宋体" w:eastAsia="仿宋_GB2312"/>
          <w:sz w:val="32"/>
          <w:szCs w:val="32"/>
          <w:highlight w:val="none"/>
        </w:rPr>
        <w:t>你公司拟在繁峙县岩头乡</w:t>
      </w:r>
      <w:r>
        <w:rPr>
          <w:rStyle w:val="10"/>
          <w:rFonts w:hint="eastAsia" w:ascii="仿宋_GB2312" w:hAnsi="宋体" w:eastAsia="仿宋_GB2312"/>
          <w:sz w:val="32"/>
          <w:szCs w:val="32"/>
          <w:highlight w:val="none"/>
        </w:rPr>
        <w:t>上后沟</w:t>
      </w:r>
      <w:r>
        <w:rPr>
          <w:rStyle w:val="10"/>
          <w:rFonts w:ascii="仿宋_GB2312" w:hAnsi="宋体" w:eastAsia="仿宋_GB2312"/>
          <w:sz w:val="32"/>
          <w:szCs w:val="32"/>
          <w:highlight w:val="none"/>
        </w:rPr>
        <w:t>村建设150万吨球团生产线建设项目，采用链篦机-回转窑-环冷机生产工艺。主要建设内容包括配料室、强力混合室、造球室、链篦机-回转窑-环冷机焙烧系统</w:t>
      </w:r>
      <w:r>
        <w:rPr>
          <w:rStyle w:val="10"/>
          <w:rFonts w:hint="eastAsia" w:ascii="仿宋_GB2312" w:hAnsi="宋体" w:eastAsia="仿宋_GB2312"/>
          <w:sz w:val="32"/>
          <w:szCs w:val="32"/>
          <w:highlight w:val="none"/>
        </w:rPr>
        <w:t>及其</w:t>
      </w:r>
      <w:r>
        <w:rPr>
          <w:rStyle w:val="10"/>
          <w:rFonts w:ascii="仿宋_GB2312" w:hAnsi="宋体" w:eastAsia="仿宋_GB2312"/>
          <w:sz w:val="32"/>
          <w:szCs w:val="32"/>
          <w:highlight w:val="none"/>
        </w:rPr>
        <w:t>配套的辅助、储运、</w:t>
      </w:r>
      <w:r>
        <w:rPr>
          <w:rStyle w:val="10"/>
          <w:rFonts w:hint="eastAsia" w:ascii="仿宋_GB2312" w:hAnsi="宋体" w:eastAsia="仿宋_GB2312"/>
          <w:sz w:val="32"/>
          <w:szCs w:val="32"/>
          <w:highlight w:val="none"/>
        </w:rPr>
        <w:t>公用和环保</w:t>
      </w:r>
      <w:r>
        <w:rPr>
          <w:rStyle w:val="10"/>
          <w:rFonts w:ascii="仿宋_GB2312" w:hAnsi="宋体" w:eastAsia="仿宋_GB2312"/>
          <w:sz w:val="32"/>
          <w:szCs w:val="32"/>
          <w:highlight w:val="none"/>
        </w:rPr>
        <w:t>工程；项目总投资28000万元，其中环保投资6089万元。2019年4月16日，繁峙县发展和改革局出具了该项目的备案</w:t>
      </w:r>
      <w:r>
        <w:rPr>
          <w:rStyle w:val="10"/>
          <w:rFonts w:hint="eastAsia" w:ascii="仿宋_GB2312" w:hAnsi="宋体" w:eastAsia="仿宋_GB2312"/>
          <w:sz w:val="32"/>
          <w:szCs w:val="32"/>
          <w:highlight w:val="none"/>
        </w:rPr>
        <w:t>证</w:t>
      </w:r>
      <w:r>
        <w:rPr>
          <w:rStyle w:val="10"/>
          <w:rFonts w:ascii="仿宋_GB2312" w:hAnsi="宋体" w:eastAsia="仿宋_GB2312"/>
          <w:sz w:val="32"/>
          <w:szCs w:val="32"/>
          <w:highlight w:val="none"/>
        </w:rPr>
        <w:t>（项目代码2019-140924-31-03-006355）；繁峙县自然资源局于2020年1月17日出具了该项目用地</w:t>
      </w:r>
      <w:r>
        <w:rPr>
          <w:rStyle w:val="10"/>
          <w:rFonts w:hint="eastAsia" w:ascii="仿宋_GB2312" w:hAnsi="宋体" w:eastAsia="仿宋_GB2312"/>
          <w:sz w:val="32"/>
          <w:szCs w:val="32"/>
          <w:highlight w:val="none"/>
        </w:rPr>
        <w:t>的</w:t>
      </w:r>
      <w:r>
        <w:rPr>
          <w:rStyle w:val="10"/>
          <w:rFonts w:ascii="仿宋_GB2312" w:hAnsi="宋体" w:eastAsia="仿宋_GB2312"/>
          <w:sz w:val="32"/>
          <w:szCs w:val="32"/>
          <w:highlight w:val="none"/>
        </w:rPr>
        <w:t>情况说明。在严格落实《报告书》提出的各项污染防</w:t>
      </w:r>
      <w:r>
        <w:rPr>
          <w:rStyle w:val="10"/>
          <w:rFonts w:ascii="仿宋_GB2312" w:eastAsia="仿宋_GB2312"/>
          <w:kern w:val="0"/>
          <w:sz w:val="32"/>
          <w:szCs w:val="32"/>
          <w:highlight w:val="none"/>
        </w:rPr>
        <w:t>治、生态保护措施和本批复要求的前提下，</w:t>
      </w:r>
    </w:p>
    <w:p>
      <w:pPr>
        <w:keepNext w:val="0"/>
        <w:keepLines w:val="0"/>
        <w:pageBreakBefore w:val="0"/>
        <w:widowControl/>
        <w:kinsoku/>
        <w:wordWrap/>
        <w:overflowPunct/>
        <w:topLinePunct w:val="0"/>
        <w:autoSpaceDE/>
        <w:autoSpaceDN/>
        <w:bidi w:val="0"/>
        <w:adjustRightInd/>
        <w:snapToGrid/>
        <w:spacing w:line="580" w:lineRule="exact"/>
        <w:textAlignment w:val="baseline"/>
        <w:rPr>
          <w:rStyle w:val="10"/>
          <w:rFonts w:ascii="仿宋_GB2312" w:hAnsi="宋体" w:eastAsia="仿宋_GB2312"/>
          <w:sz w:val="32"/>
          <w:szCs w:val="32"/>
          <w:highlight w:val="none"/>
        </w:rPr>
      </w:pPr>
      <w:r>
        <w:rPr>
          <w:rStyle w:val="10"/>
          <w:rFonts w:ascii="仿宋_GB2312" w:eastAsia="仿宋_GB2312"/>
          <w:kern w:val="0"/>
          <w:sz w:val="32"/>
          <w:szCs w:val="32"/>
          <w:highlight w:val="none"/>
        </w:rPr>
        <w:t>综合考虑繁峙县人民政府出具的</w:t>
      </w:r>
      <w:r>
        <w:rPr>
          <w:rStyle w:val="10"/>
          <w:rFonts w:ascii="仿宋_GB2312" w:hAnsi="宋体" w:eastAsia="仿宋_GB2312"/>
          <w:sz w:val="32"/>
          <w:szCs w:val="32"/>
          <w:highlight w:val="none"/>
        </w:rPr>
        <w:t>《</w:t>
      </w:r>
      <w:r>
        <w:rPr>
          <w:rStyle w:val="10"/>
          <w:rFonts w:ascii="仿宋_GB2312" w:eastAsia="仿宋_GB2312"/>
          <w:kern w:val="0"/>
          <w:sz w:val="32"/>
          <w:szCs w:val="32"/>
          <w:highlight w:val="none"/>
        </w:rPr>
        <w:t>关于山西冀武球团有限公司不具备进园入区的情况说明</w:t>
      </w:r>
      <w:r>
        <w:rPr>
          <w:rStyle w:val="10"/>
          <w:rFonts w:ascii="仿宋_GB2312" w:hAnsi="宋体" w:eastAsia="仿宋_GB2312"/>
          <w:sz w:val="32"/>
          <w:szCs w:val="32"/>
          <w:highlight w:val="none"/>
        </w:rPr>
        <w:t>》</w:t>
      </w:r>
      <w:r>
        <w:rPr>
          <w:rStyle w:val="10"/>
          <w:rFonts w:ascii="仿宋_GB2312" w:eastAsia="仿宋_GB2312"/>
          <w:kern w:val="0"/>
          <w:sz w:val="32"/>
          <w:szCs w:val="32"/>
          <w:highlight w:val="none"/>
        </w:rPr>
        <w:t>（繁政函</w:t>
      </w:r>
      <w:r>
        <w:rPr>
          <w:rStyle w:val="10"/>
          <w:rFonts w:hint="eastAsia" w:ascii="仿宋" w:hAnsi="仿宋" w:eastAsia="仿宋" w:cs="仿宋"/>
          <w:kern w:val="0"/>
          <w:sz w:val="32"/>
          <w:szCs w:val="32"/>
          <w:highlight w:val="none"/>
        </w:rPr>
        <w:t>〔</w:t>
      </w:r>
      <w:r>
        <w:rPr>
          <w:rStyle w:val="10"/>
          <w:rFonts w:ascii="仿宋_GB2312" w:eastAsia="仿宋_GB2312"/>
          <w:kern w:val="0"/>
          <w:sz w:val="32"/>
          <w:szCs w:val="32"/>
          <w:highlight w:val="none"/>
        </w:rPr>
        <w:t>2049</w:t>
      </w:r>
      <w:r>
        <w:rPr>
          <w:rStyle w:val="10"/>
          <w:rFonts w:hint="eastAsia" w:ascii="仿宋" w:hAnsi="仿宋" w:eastAsia="仿宋" w:cs="仿宋"/>
          <w:kern w:val="0"/>
          <w:sz w:val="32"/>
          <w:szCs w:val="32"/>
          <w:highlight w:val="none"/>
        </w:rPr>
        <w:t>〕</w:t>
      </w:r>
      <w:r>
        <w:rPr>
          <w:rStyle w:val="10"/>
          <w:rFonts w:ascii="仿宋_GB2312" w:eastAsia="仿宋_GB2312"/>
          <w:kern w:val="0"/>
          <w:sz w:val="32"/>
          <w:szCs w:val="32"/>
          <w:highlight w:val="none"/>
        </w:rPr>
        <w:t>44号</w:t>
      </w:r>
      <w:r>
        <w:rPr>
          <w:rStyle w:val="10"/>
          <w:rFonts w:ascii="仿宋_GB2312" w:hAnsi="宋体" w:eastAsia="仿宋_GB2312"/>
          <w:sz w:val="32"/>
          <w:szCs w:val="32"/>
          <w:highlight w:val="none"/>
        </w:rPr>
        <w:t>），</w:t>
      </w:r>
      <w:r>
        <w:rPr>
          <w:rStyle w:val="10"/>
          <w:rFonts w:ascii="仿宋_GB2312" w:eastAsia="仿宋_GB2312"/>
          <w:kern w:val="0"/>
          <w:sz w:val="32"/>
          <w:szCs w:val="32"/>
          <w:highlight w:val="none"/>
        </w:rPr>
        <w:t>我局原则同意《报告书》中所列的建设项目的性质、规模、地点、工艺以及拟采取的环境保护措施。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Style w:val="10"/>
          <w:rFonts w:ascii="仿宋_GB2312" w:eastAsia="仿宋_GB2312"/>
          <w:kern w:val="0"/>
          <w:sz w:val="32"/>
          <w:szCs w:val="32"/>
          <w:highlight w:val="none"/>
        </w:rPr>
      </w:pPr>
      <w:r>
        <w:rPr>
          <w:rStyle w:val="10"/>
          <w:rFonts w:hint="eastAsia" w:ascii="仿宋_GB2312" w:eastAsia="仿宋_GB2312"/>
          <w:kern w:val="0"/>
          <w:sz w:val="32"/>
          <w:szCs w:val="32"/>
          <w:highlight w:val="none"/>
        </w:rPr>
        <w:t>三</w:t>
      </w:r>
      <w:r>
        <w:rPr>
          <w:rStyle w:val="10"/>
          <w:rFonts w:ascii="仿宋_GB2312" w:eastAsia="仿宋_GB2312"/>
          <w:kern w:val="0"/>
          <w:sz w:val="32"/>
          <w:szCs w:val="32"/>
          <w:highlight w:val="none"/>
        </w:rPr>
        <w:t>、项目设计、建设和运行管理中应重点做好以下工作：</w:t>
      </w:r>
    </w:p>
    <w:p>
      <w:pPr>
        <w:keepNext w:val="0"/>
        <w:keepLines w:val="0"/>
        <w:pageBreakBefore w:val="0"/>
        <w:widowControl/>
        <w:kinsoku/>
        <w:wordWrap/>
        <w:overflowPunct/>
        <w:topLinePunct w:val="0"/>
        <w:autoSpaceDE/>
        <w:autoSpaceDN/>
        <w:bidi w:val="0"/>
        <w:adjustRightInd/>
        <w:snapToGrid/>
        <w:spacing w:line="580" w:lineRule="exact"/>
        <w:ind w:firstLine="630"/>
        <w:jc w:val="left"/>
        <w:textAlignment w:val="baseline"/>
        <w:rPr>
          <w:rFonts w:ascii="仿宋_GB2312" w:hAnsi="仿宋_GB2312" w:eastAsia="仿宋_GB2312" w:cs="仿宋_GB2312"/>
          <w:sz w:val="32"/>
          <w:szCs w:val="32"/>
          <w:highlight w:val="none"/>
        </w:rPr>
      </w:pPr>
      <w:r>
        <w:rPr>
          <w:rStyle w:val="10"/>
          <w:rFonts w:hint="eastAsia" w:ascii="仿宋_GB2312" w:eastAsia="仿宋_GB2312"/>
          <w:kern w:val="0"/>
          <w:sz w:val="32"/>
          <w:szCs w:val="32"/>
          <w:highlight w:val="none"/>
        </w:rPr>
        <w:t>1</w:t>
      </w:r>
      <w:r>
        <w:rPr>
          <w:rStyle w:val="10"/>
          <w:rFonts w:ascii="仿宋_GB2312" w:hAnsi="Courier New" w:eastAsia="仿宋_GB2312"/>
          <w:kern w:val="0"/>
          <w:sz w:val="32"/>
          <w:szCs w:val="32"/>
          <w:highlight w:val="none"/>
        </w:rPr>
        <w:t>、</w:t>
      </w:r>
      <w:r>
        <w:rPr>
          <w:rFonts w:hint="eastAsia" w:ascii="仿宋_GB2312" w:hAnsi="仿宋_GB2312" w:eastAsia="仿宋_GB2312" w:cs="仿宋_GB2312"/>
          <w:sz w:val="32"/>
          <w:szCs w:val="32"/>
          <w:highlight w:val="none"/>
        </w:rPr>
        <w:t>严格落实施工期污水、扬尘、噪声、固废等污染防治措施。落实《报告书》提出的</w:t>
      </w:r>
      <w:r>
        <w:rPr>
          <w:rFonts w:hint="eastAsia" w:ascii="仿宋_GB2312" w:hAnsi="宋体" w:eastAsia="仿宋_GB2312"/>
          <w:sz w:val="32"/>
          <w:szCs w:val="32"/>
          <w:highlight w:val="none"/>
        </w:rPr>
        <w:t>各项污染防治措施，按照《防治城市扬尘污染技术规范》（HJ/T393</w:t>
      </w:r>
      <w:r>
        <w:rPr>
          <w:rFonts w:hint="eastAsia" w:ascii="宋体" w:hAnsi="宋体" w:cs="宋体"/>
          <w:sz w:val="32"/>
          <w:szCs w:val="32"/>
          <w:highlight w:val="none"/>
        </w:rPr>
        <w:t>－</w:t>
      </w:r>
      <w:r>
        <w:rPr>
          <w:rFonts w:hint="eastAsia" w:ascii="仿宋_GB2312" w:hAnsi="宋体" w:eastAsia="仿宋_GB2312"/>
          <w:sz w:val="32"/>
          <w:szCs w:val="32"/>
          <w:highlight w:val="none"/>
        </w:rPr>
        <w:t>2007）、山西省环境保护厅《关于加强建筑施工扬尘排污费核定征收工作的通知》（晋环发</w:t>
      </w:r>
      <w:r>
        <w:rPr>
          <w:rFonts w:hint="eastAsia" w:ascii="仿宋" w:hAnsi="仿宋" w:eastAsia="仿宋" w:cs="仿宋"/>
          <w:sz w:val="32"/>
          <w:szCs w:val="32"/>
          <w:highlight w:val="none"/>
        </w:rPr>
        <w:t>〔2010〕36号</w:t>
      </w:r>
      <w:r>
        <w:rPr>
          <w:rFonts w:hint="eastAsia" w:ascii="仿宋_GB2312" w:hAnsi="宋体" w:eastAsia="仿宋_GB2312"/>
          <w:sz w:val="32"/>
          <w:szCs w:val="32"/>
          <w:highlight w:val="none"/>
        </w:rPr>
        <w:t>）、《山西省大气污染防治条例》、《忻州市人民政府办公室关于印发忻州市打赢蓝天保卫战2019年行动计划的通知》（忻政办发</w:t>
      </w:r>
      <w:r>
        <w:rPr>
          <w:rFonts w:hint="eastAsia" w:ascii="仿宋" w:hAnsi="仿宋" w:eastAsia="仿宋" w:cs="仿宋"/>
          <w:sz w:val="32"/>
          <w:szCs w:val="32"/>
          <w:highlight w:val="none"/>
        </w:rPr>
        <w:t>〔2019〕70号</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文</w:t>
      </w:r>
      <w:r>
        <w:rPr>
          <w:rFonts w:hint="eastAsia" w:ascii="仿宋_GB2312" w:hAnsi="宋体" w:eastAsia="仿宋_GB2312"/>
          <w:sz w:val="32"/>
          <w:szCs w:val="32"/>
          <w:highlight w:val="none"/>
        </w:rPr>
        <w:t>中建筑工地扬尘控制措施及达标要求。</w:t>
      </w:r>
    </w:p>
    <w:p>
      <w:pPr>
        <w:pStyle w:val="13"/>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Style w:val="10"/>
          <w:rFonts w:ascii="仿宋_GB2312" w:eastAsia="仿宋_GB2312"/>
          <w:kern w:val="0"/>
          <w:sz w:val="32"/>
          <w:szCs w:val="32"/>
          <w:highlight w:val="none"/>
        </w:rPr>
      </w:pPr>
      <w:r>
        <w:rPr>
          <w:rStyle w:val="10"/>
          <w:rFonts w:hint="eastAsia" w:ascii="仿宋_GB2312" w:eastAsia="仿宋_GB2312"/>
          <w:kern w:val="0"/>
          <w:sz w:val="32"/>
          <w:szCs w:val="32"/>
          <w:highlight w:val="none"/>
        </w:rPr>
        <w:t>2、</w:t>
      </w:r>
      <w:r>
        <w:rPr>
          <w:rStyle w:val="10"/>
          <w:rFonts w:ascii="仿宋_GB2312" w:eastAsia="仿宋_GB2312"/>
          <w:kern w:val="0"/>
          <w:sz w:val="32"/>
          <w:szCs w:val="32"/>
          <w:highlight w:val="none"/>
        </w:rPr>
        <w:t>严格落实运营期大气污染防治措施。原料转运、配料室、混合室、造球室、环冷机受卸料、链蓖机灰仓散料1#-3#皮带转运散料等产尘点均设集气罩，收集后经布袋除尘器处理</w:t>
      </w:r>
      <w:r>
        <w:rPr>
          <w:rStyle w:val="10"/>
          <w:rFonts w:hint="eastAsia" w:ascii="仿宋_GB2312" w:eastAsia="仿宋_GB2312"/>
          <w:kern w:val="0"/>
          <w:sz w:val="32"/>
          <w:szCs w:val="32"/>
          <w:highlight w:val="none"/>
        </w:rPr>
        <w:t>后经25</w:t>
      </w:r>
      <w:r>
        <w:rPr>
          <w:rStyle w:val="10"/>
          <w:rFonts w:ascii="仿宋_GB2312" w:eastAsia="仿宋_GB2312"/>
          <w:kern w:val="0"/>
          <w:sz w:val="32"/>
          <w:szCs w:val="32"/>
          <w:highlight w:val="none"/>
        </w:rPr>
        <w:t>m</w:t>
      </w:r>
      <w:r>
        <w:rPr>
          <w:rStyle w:val="10"/>
          <w:rFonts w:hint="eastAsia" w:ascii="仿宋_GB2312" w:eastAsia="仿宋_GB2312"/>
          <w:kern w:val="0"/>
          <w:sz w:val="32"/>
          <w:szCs w:val="32"/>
          <w:highlight w:val="none"/>
        </w:rPr>
        <w:t>高的排气筒排出</w:t>
      </w:r>
      <w:r>
        <w:rPr>
          <w:rStyle w:val="10"/>
          <w:rFonts w:ascii="仿宋_GB2312" w:eastAsia="仿宋_GB2312"/>
          <w:kern w:val="0"/>
          <w:sz w:val="32"/>
          <w:szCs w:val="32"/>
          <w:highlight w:val="none"/>
        </w:rPr>
        <w:t>；</w:t>
      </w:r>
      <w:r>
        <w:rPr>
          <w:rStyle w:val="10"/>
          <w:rFonts w:ascii="仿宋_GB2312" w:hAnsi="宋体" w:eastAsia="仿宋_GB2312"/>
          <w:sz w:val="32"/>
          <w:szCs w:val="32"/>
          <w:highlight w:val="none"/>
        </w:rPr>
        <w:t>链篦机回转窑环冷机烟气经</w:t>
      </w:r>
      <w:r>
        <w:rPr>
          <w:rStyle w:val="10"/>
          <w:rFonts w:ascii="仿宋_GB2312" w:eastAsia="仿宋_GB2312"/>
          <w:kern w:val="0"/>
          <w:sz w:val="32"/>
          <w:szCs w:val="32"/>
          <w:highlight w:val="none"/>
        </w:rPr>
        <w:t>SCR脱硝+双室四电场</w:t>
      </w:r>
      <w:r>
        <w:rPr>
          <w:rStyle w:val="10"/>
          <w:rFonts w:hint="eastAsia" w:ascii="仿宋_GB2312" w:eastAsia="仿宋_GB2312"/>
          <w:kern w:val="0"/>
          <w:sz w:val="32"/>
          <w:szCs w:val="32"/>
          <w:highlight w:val="none"/>
        </w:rPr>
        <w:t>静电除尘器</w:t>
      </w:r>
      <w:r>
        <w:rPr>
          <w:rStyle w:val="10"/>
          <w:rFonts w:ascii="仿宋_GB2312" w:eastAsia="仿宋_GB2312"/>
          <w:kern w:val="0"/>
          <w:sz w:val="32"/>
          <w:szCs w:val="32"/>
          <w:highlight w:val="none"/>
        </w:rPr>
        <w:t>+石灰</w:t>
      </w:r>
      <w:r>
        <w:rPr>
          <w:rStyle w:val="10"/>
          <w:rFonts w:hint="eastAsia" w:hAnsi="宋体" w:eastAsia="仿宋_GB2312" w:cs="宋体"/>
          <w:kern w:val="0"/>
          <w:sz w:val="32"/>
          <w:szCs w:val="32"/>
          <w:highlight w:val="none"/>
          <w:lang w:val="en-US" w:eastAsia="zh-CN"/>
        </w:rPr>
        <w:t>-</w:t>
      </w:r>
      <w:r>
        <w:rPr>
          <w:rStyle w:val="10"/>
          <w:rFonts w:ascii="仿宋_GB2312" w:eastAsia="仿宋_GB2312"/>
          <w:kern w:val="0"/>
          <w:sz w:val="32"/>
          <w:szCs w:val="32"/>
          <w:highlight w:val="none"/>
        </w:rPr>
        <w:t>石膏</w:t>
      </w:r>
      <w:r>
        <w:rPr>
          <w:rStyle w:val="10"/>
          <w:rFonts w:hint="eastAsia" w:ascii="仿宋_GB2312" w:eastAsia="仿宋_GB2312"/>
          <w:kern w:val="0"/>
          <w:sz w:val="32"/>
          <w:szCs w:val="32"/>
          <w:highlight w:val="none"/>
        </w:rPr>
        <w:t>湿</w:t>
      </w:r>
      <w:r>
        <w:rPr>
          <w:rStyle w:val="10"/>
          <w:rFonts w:ascii="仿宋_GB2312" w:eastAsia="仿宋_GB2312"/>
          <w:kern w:val="0"/>
          <w:sz w:val="32"/>
          <w:szCs w:val="32"/>
          <w:highlight w:val="none"/>
        </w:rPr>
        <w:t>法脱硫+湿式电除尘处理后通过70m排气筒排放；成品系统产尘点配备成品布袋除尘系统，通过25</w:t>
      </w:r>
      <w:r>
        <w:rPr>
          <w:rStyle w:val="10"/>
          <w:rFonts w:hint="eastAsia" w:ascii="仿宋_GB2312" w:eastAsia="仿宋_GB2312"/>
          <w:kern w:val="0"/>
          <w:sz w:val="32"/>
          <w:szCs w:val="32"/>
          <w:highlight w:val="none"/>
        </w:rPr>
        <w:t>m</w:t>
      </w:r>
      <w:r>
        <w:rPr>
          <w:rStyle w:val="10"/>
          <w:rFonts w:ascii="仿宋_GB2312" w:eastAsia="仿宋_GB2312"/>
          <w:kern w:val="0"/>
          <w:sz w:val="32"/>
          <w:szCs w:val="32"/>
          <w:highlight w:val="none"/>
        </w:rPr>
        <w:t>烟筒排放；脱硫石灰仓、原煤仓、煤粉仓</w:t>
      </w:r>
      <w:r>
        <w:rPr>
          <w:rStyle w:val="10"/>
          <w:rFonts w:hint="eastAsia" w:ascii="仿宋_GB2312" w:eastAsia="仿宋_GB2312"/>
          <w:kern w:val="0"/>
          <w:sz w:val="32"/>
          <w:szCs w:val="32"/>
          <w:highlight w:val="none"/>
        </w:rPr>
        <w:t>经</w:t>
      </w:r>
      <w:r>
        <w:rPr>
          <w:rStyle w:val="10"/>
          <w:rFonts w:ascii="仿宋_GB2312" w:eastAsia="仿宋_GB2312"/>
          <w:kern w:val="0"/>
          <w:sz w:val="32"/>
          <w:szCs w:val="32"/>
          <w:highlight w:val="none"/>
        </w:rPr>
        <w:t>仓顶布袋除尘器</w:t>
      </w:r>
      <w:r>
        <w:rPr>
          <w:rStyle w:val="10"/>
          <w:rFonts w:hint="eastAsia" w:ascii="仿宋_GB2312" w:eastAsia="仿宋_GB2312"/>
          <w:kern w:val="0"/>
          <w:sz w:val="32"/>
          <w:szCs w:val="32"/>
          <w:highlight w:val="none"/>
        </w:rPr>
        <w:t>处理后</w:t>
      </w:r>
      <w:r>
        <w:rPr>
          <w:rStyle w:val="10"/>
          <w:rFonts w:ascii="仿宋_GB2312" w:eastAsia="仿宋_GB2312"/>
          <w:kern w:val="0"/>
          <w:sz w:val="32"/>
          <w:szCs w:val="32"/>
          <w:highlight w:val="none"/>
        </w:rPr>
        <w:t>，</w:t>
      </w:r>
      <w:r>
        <w:rPr>
          <w:rStyle w:val="10"/>
          <w:rFonts w:hint="eastAsia" w:ascii="仿宋_GB2312" w:eastAsia="仿宋_GB2312"/>
          <w:kern w:val="0"/>
          <w:sz w:val="32"/>
          <w:szCs w:val="32"/>
          <w:highlight w:val="none"/>
        </w:rPr>
        <w:t>通过</w:t>
      </w:r>
      <w:r>
        <w:rPr>
          <w:rStyle w:val="10"/>
          <w:rFonts w:ascii="仿宋_GB2312" w:eastAsia="仿宋_GB2312"/>
          <w:kern w:val="0"/>
          <w:sz w:val="32"/>
          <w:szCs w:val="32"/>
          <w:highlight w:val="none"/>
        </w:rPr>
        <w:t>15</w:t>
      </w:r>
      <w:r>
        <w:rPr>
          <w:rStyle w:val="10"/>
          <w:rFonts w:hint="eastAsia" w:ascii="仿宋_GB2312" w:eastAsia="仿宋_GB2312"/>
          <w:kern w:val="0"/>
          <w:sz w:val="32"/>
          <w:szCs w:val="32"/>
          <w:highlight w:val="none"/>
        </w:rPr>
        <w:t>m</w:t>
      </w:r>
      <w:r>
        <w:rPr>
          <w:rStyle w:val="10"/>
          <w:rFonts w:ascii="仿宋_GB2312" w:eastAsia="仿宋_GB2312"/>
          <w:kern w:val="0"/>
          <w:sz w:val="32"/>
          <w:szCs w:val="32"/>
          <w:highlight w:val="none"/>
        </w:rPr>
        <w:t>高的</w:t>
      </w:r>
      <w:r>
        <w:rPr>
          <w:rStyle w:val="10"/>
          <w:rFonts w:hint="eastAsia" w:ascii="仿宋_GB2312" w:eastAsia="仿宋_GB2312"/>
          <w:kern w:val="0"/>
          <w:sz w:val="32"/>
          <w:szCs w:val="32"/>
          <w:highlight w:val="none"/>
        </w:rPr>
        <w:t>排气</w:t>
      </w:r>
      <w:r>
        <w:rPr>
          <w:rStyle w:val="10"/>
          <w:rFonts w:ascii="仿宋_GB2312" w:eastAsia="仿宋_GB2312"/>
          <w:kern w:val="0"/>
          <w:sz w:val="32"/>
          <w:szCs w:val="32"/>
          <w:highlight w:val="none"/>
        </w:rPr>
        <w:t>筒排放；煤粉制备</w:t>
      </w:r>
      <w:r>
        <w:rPr>
          <w:rStyle w:val="10"/>
          <w:rFonts w:hint="eastAsia" w:ascii="仿宋_GB2312" w:eastAsia="仿宋_GB2312"/>
          <w:kern w:val="0"/>
          <w:sz w:val="32"/>
          <w:szCs w:val="32"/>
          <w:highlight w:val="none"/>
        </w:rPr>
        <w:t>经</w:t>
      </w:r>
      <w:r>
        <w:rPr>
          <w:rStyle w:val="10"/>
          <w:rFonts w:ascii="仿宋_GB2312" w:eastAsia="仿宋_GB2312"/>
          <w:kern w:val="0"/>
          <w:sz w:val="32"/>
          <w:szCs w:val="32"/>
          <w:highlight w:val="none"/>
        </w:rPr>
        <w:t>防爆脉冲煤磨袋式除尘器</w:t>
      </w:r>
      <w:r>
        <w:rPr>
          <w:rStyle w:val="10"/>
          <w:rFonts w:hint="eastAsia" w:ascii="仿宋_GB2312" w:eastAsia="仿宋_GB2312"/>
          <w:kern w:val="0"/>
          <w:sz w:val="32"/>
          <w:szCs w:val="32"/>
          <w:highlight w:val="none"/>
        </w:rPr>
        <w:t>处理后</w:t>
      </w:r>
      <w:r>
        <w:rPr>
          <w:rStyle w:val="10"/>
          <w:rFonts w:ascii="仿宋_GB2312" w:eastAsia="仿宋_GB2312"/>
          <w:kern w:val="0"/>
          <w:sz w:val="32"/>
          <w:szCs w:val="32"/>
          <w:highlight w:val="none"/>
        </w:rPr>
        <w:t>，</w:t>
      </w:r>
      <w:r>
        <w:rPr>
          <w:rStyle w:val="10"/>
          <w:rFonts w:hint="eastAsia" w:ascii="仿宋_GB2312" w:eastAsia="仿宋_GB2312"/>
          <w:kern w:val="0"/>
          <w:sz w:val="32"/>
          <w:szCs w:val="32"/>
          <w:highlight w:val="none"/>
        </w:rPr>
        <w:t>通过</w:t>
      </w:r>
      <w:r>
        <w:rPr>
          <w:rStyle w:val="10"/>
          <w:rFonts w:ascii="仿宋_GB2312" w:eastAsia="仿宋_GB2312"/>
          <w:kern w:val="0"/>
          <w:sz w:val="32"/>
          <w:szCs w:val="32"/>
          <w:highlight w:val="none"/>
        </w:rPr>
        <w:t>30</w:t>
      </w:r>
      <w:r>
        <w:rPr>
          <w:rStyle w:val="10"/>
          <w:rFonts w:hint="eastAsia" w:ascii="仿宋_GB2312" w:eastAsia="仿宋_GB2312"/>
          <w:kern w:val="0"/>
          <w:sz w:val="32"/>
          <w:szCs w:val="32"/>
          <w:highlight w:val="none"/>
        </w:rPr>
        <w:t>m排气筒</w:t>
      </w:r>
      <w:r>
        <w:rPr>
          <w:rStyle w:val="10"/>
          <w:rFonts w:ascii="仿宋_GB2312" w:eastAsia="仿宋_GB2312"/>
          <w:kern w:val="0"/>
          <w:sz w:val="32"/>
          <w:szCs w:val="32"/>
          <w:highlight w:val="none"/>
        </w:rPr>
        <w:t>排放；铁精矿粉输送</w:t>
      </w:r>
      <w:r>
        <w:rPr>
          <w:rStyle w:val="10"/>
          <w:rFonts w:hint="eastAsia" w:ascii="仿宋_GB2312" w:eastAsia="仿宋_GB2312"/>
          <w:kern w:val="0"/>
          <w:sz w:val="32"/>
          <w:szCs w:val="32"/>
          <w:highlight w:val="none"/>
        </w:rPr>
        <w:t>采用</w:t>
      </w:r>
      <w:r>
        <w:rPr>
          <w:rStyle w:val="10"/>
          <w:rFonts w:ascii="仿宋_GB2312" w:eastAsia="仿宋_GB2312"/>
          <w:kern w:val="0"/>
          <w:sz w:val="32"/>
          <w:szCs w:val="32"/>
          <w:highlight w:val="none"/>
        </w:rPr>
        <w:t>全封闭保温皮带输送通廊；原料及产品运输车辆</w:t>
      </w:r>
      <w:bookmarkStart w:id="0" w:name="_GoBack"/>
      <w:bookmarkEnd w:id="0"/>
    </w:p>
    <w:p>
      <w:pPr>
        <w:pStyle w:val="13"/>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baseline"/>
        <w:rPr>
          <w:rStyle w:val="10"/>
          <w:rFonts w:ascii="仿宋_GB2312" w:eastAsia="仿宋_GB2312"/>
          <w:kern w:val="0"/>
          <w:sz w:val="32"/>
          <w:szCs w:val="32"/>
          <w:highlight w:val="none"/>
        </w:rPr>
      </w:pPr>
      <w:r>
        <w:rPr>
          <w:rStyle w:val="10"/>
          <w:rFonts w:ascii="仿宋_GB2312" w:eastAsia="仿宋_GB2312"/>
          <w:kern w:val="0"/>
          <w:sz w:val="32"/>
          <w:szCs w:val="32"/>
          <w:highlight w:val="none"/>
        </w:rPr>
        <w:t>用帆布遮盖，道路洒水、清扫，在料场出口设置车辆清洗装置；</w:t>
      </w:r>
      <w:r>
        <w:rPr>
          <w:rStyle w:val="10"/>
          <w:rFonts w:ascii="仿宋_GB2312" w:hAnsi="宋体" w:eastAsia="仿宋_GB2312"/>
          <w:sz w:val="32"/>
          <w:szCs w:val="32"/>
          <w:highlight w:val="none"/>
        </w:rPr>
        <w:t>原料场及干煤棚</w:t>
      </w:r>
      <w:r>
        <w:rPr>
          <w:rStyle w:val="10"/>
          <w:rFonts w:hint="eastAsia" w:ascii="仿宋_GB2312" w:hAnsi="宋体" w:eastAsia="仿宋_GB2312"/>
          <w:sz w:val="32"/>
          <w:szCs w:val="32"/>
          <w:highlight w:val="none"/>
        </w:rPr>
        <w:t>采用</w:t>
      </w:r>
      <w:r>
        <w:rPr>
          <w:rStyle w:val="10"/>
          <w:rFonts w:ascii="仿宋_GB2312" w:hAnsi="宋体" w:eastAsia="仿宋_GB2312"/>
          <w:sz w:val="32"/>
          <w:szCs w:val="32"/>
          <w:highlight w:val="none"/>
        </w:rPr>
        <w:t>轻钢结构全封闭并设置雾炮抑尘；</w:t>
      </w:r>
      <w:r>
        <w:rPr>
          <w:rStyle w:val="10"/>
          <w:rFonts w:hint="eastAsia" w:ascii="仿宋_GB2312" w:hAnsi="宋体" w:eastAsia="仿宋_GB2312"/>
          <w:sz w:val="32"/>
          <w:szCs w:val="32"/>
          <w:highlight w:val="none"/>
        </w:rPr>
        <w:t>严格</w:t>
      </w:r>
      <w:r>
        <w:rPr>
          <w:rStyle w:val="10"/>
          <w:rFonts w:ascii="仿宋_GB2312" w:hAnsi="宋体" w:eastAsia="仿宋_GB2312"/>
          <w:sz w:val="32"/>
          <w:szCs w:val="32"/>
          <w:highlight w:val="none"/>
        </w:rPr>
        <w:t>落实《关于推进实施钢铁行业超低排放的意见》（环大气〔2019〕35号）有关要求，确保达到钢铁企业超低排放指标限值。</w:t>
      </w:r>
    </w:p>
    <w:p>
      <w:pPr>
        <w:spacing w:line="600" w:lineRule="exact"/>
        <w:ind w:firstLine="640" w:firstLineChars="200"/>
        <w:rPr>
          <w:rStyle w:val="10"/>
          <w:rFonts w:ascii="仿宋_GB2312" w:eastAsia="仿宋_GB2312"/>
          <w:kern w:val="0"/>
          <w:sz w:val="32"/>
          <w:szCs w:val="32"/>
          <w:highlight w:val="none"/>
        </w:rPr>
      </w:pPr>
      <w:r>
        <w:rPr>
          <w:rStyle w:val="10"/>
          <w:rFonts w:hint="eastAsia" w:ascii="仿宋_GB2312" w:eastAsia="仿宋_GB2312"/>
          <w:kern w:val="0"/>
          <w:sz w:val="32"/>
          <w:szCs w:val="32"/>
          <w:highlight w:val="none"/>
        </w:rPr>
        <w:t>3</w:t>
      </w:r>
      <w:r>
        <w:rPr>
          <w:rStyle w:val="10"/>
          <w:rFonts w:ascii="仿宋_GB2312" w:eastAsia="仿宋_GB2312"/>
          <w:kern w:val="0"/>
          <w:sz w:val="32"/>
          <w:szCs w:val="32"/>
          <w:highlight w:val="none"/>
        </w:rPr>
        <w:t>、严格落实运营期污废水污染防治措施。生活污水经处理能力1.0m</w:t>
      </w:r>
      <w:r>
        <w:rPr>
          <w:rStyle w:val="10"/>
          <w:rFonts w:ascii="仿宋_GB2312" w:eastAsia="仿宋_GB2312"/>
          <w:kern w:val="0"/>
          <w:sz w:val="32"/>
          <w:szCs w:val="32"/>
          <w:highlight w:val="none"/>
          <w:vertAlign w:val="superscript"/>
        </w:rPr>
        <w:t>3</w:t>
      </w:r>
      <w:r>
        <w:rPr>
          <w:rStyle w:val="10"/>
          <w:rFonts w:ascii="仿宋_GB2312" w:eastAsia="仿宋_GB2312"/>
          <w:kern w:val="0"/>
          <w:sz w:val="32"/>
          <w:szCs w:val="32"/>
          <w:highlight w:val="none"/>
        </w:rPr>
        <w:t>/h的污水一体化处理设施，采用调节、接触氧化、过滤、消毒处理工艺处理后全部回用于厂区道路洒水，不得外排；运输车辆清洗水经沉淀处理后回用；循环冷却排污水</w:t>
      </w:r>
      <w:r>
        <w:rPr>
          <w:rStyle w:val="10"/>
          <w:rFonts w:hint="eastAsia" w:ascii="仿宋_GB2312" w:eastAsia="仿宋_GB2312"/>
          <w:kern w:val="0"/>
          <w:sz w:val="32"/>
          <w:szCs w:val="32"/>
          <w:highlight w:val="none"/>
        </w:rPr>
        <w:t>补充至混料造球工序，不得外排</w:t>
      </w:r>
      <w:r>
        <w:rPr>
          <w:rStyle w:val="10"/>
          <w:rFonts w:ascii="仿宋_GB2312" w:eastAsia="仿宋_GB2312"/>
          <w:kern w:val="0"/>
          <w:sz w:val="32"/>
          <w:szCs w:val="32"/>
          <w:highlight w:val="none"/>
        </w:rPr>
        <w:t>；脱硫废水</w:t>
      </w:r>
      <w:r>
        <w:rPr>
          <w:rStyle w:val="10"/>
          <w:rFonts w:hint="eastAsia" w:ascii="仿宋_GB2312" w:eastAsia="仿宋_GB2312"/>
          <w:kern w:val="0"/>
          <w:sz w:val="32"/>
          <w:szCs w:val="32"/>
          <w:highlight w:val="none"/>
        </w:rPr>
        <w:t>采用</w:t>
      </w:r>
      <w:r>
        <w:rPr>
          <w:rStyle w:val="10"/>
          <w:rFonts w:ascii="仿宋_GB2312" w:eastAsia="仿宋_GB2312"/>
          <w:kern w:val="0"/>
          <w:sz w:val="32"/>
          <w:szCs w:val="32"/>
          <w:highlight w:val="none"/>
        </w:rPr>
        <w:t>中和、絮凝、沉淀的处理工艺，处理后回用于宝山第三选矿厂；所有生产废水全部循环回用，不得外排。</w:t>
      </w:r>
    </w:p>
    <w:p>
      <w:pPr>
        <w:spacing w:line="600" w:lineRule="exact"/>
        <w:ind w:firstLine="640" w:firstLineChars="200"/>
        <w:rPr>
          <w:rStyle w:val="10"/>
          <w:rFonts w:ascii="仿宋_GB2312" w:hAnsi="仿宋_GB2312" w:eastAsia="仿宋_GB2312"/>
          <w:kern w:val="0"/>
          <w:sz w:val="32"/>
          <w:szCs w:val="32"/>
          <w:highlight w:val="none"/>
        </w:rPr>
      </w:pPr>
      <w:r>
        <w:rPr>
          <w:rStyle w:val="10"/>
          <w:rFonts w:hint="eastAsia" w:ascii="仿宋_GB2312" w:hAnsi="宋体" w:eastAsia="仿宋_GB2312"/>
          <w:color w:val="000000"/>
          <w:sz w:val="32"/>
          <w:szCs w:val="32"/>
          <w:highlight w:val="none"/>
        </w:rPr>
        <w:t>4</w:t>
      </w:r>
      <w:r>
        <w:rPr>
          <w:rStyle w:val="10"/>
          <w:rFonts w:ascii="仿宋_GB2312" w:hAnsi="宋体" w:eastAsia="仿宋_GB2312"/>
          <w:color w:val="000000"/>
          <w:sz w:val="32"/>
          <w:szCs w:val="32"/>
          <w:highlight w:val="none"/>
        </w:rPr>
        <w:t>、严格落实运营期噪声污染控制措施。回转窑、泵、风机、空压机等选用低噪声设备、基础减振、消声器、建筑隔声，在运行过程中加强噪声源的管理，确保厂界噪声</w:t>
      </w:r>
      <w:r>
        <w:rPr>
          <w:rStyle w:val="10"/>
          <w:rFonts w:ascii="仿宋_GB2312" w:hAnsi="仿宋_GB2312" w:eastAsia="仿宋_GB2312"/>
          <w:kern w:val="0"/>
          <w:sz w:val="32"/>
          <w:szCs w:val="32"/>
          <w:highlight w:val="none"/>
        </w:rPr>
        <w:t>满足《工业企业厂界噪声排放标准》（GB12348-2008）相关要求。</w:t>
      </w:r>
    </w:p>
    <w:p>
      <w:pPr>
        <w:tabs>
          <w:tab w:val="left" w:pos="2730"/>
        </w:tabs>
        <w:spacing w:line="600" w:lineRule="exact"/>
        <w:ind w:firstLine="630"/>
        <w:rPr>
          <w:rStyle w:val="10"/>
          <w:rFonts w:ascii="仿宋_GB2312" w:hAnsi="仿宋_GB2312" w:eastAsia="仿宋_GB2312"/>
          <w:kern w:val="0"/>
          <w:sz w:val="32"/>
          <w:szCs w:val="32"/>
          <w:highlight w:val="none"/>
        </w:rPr>
      </w:pPr>
      <w:r>
        <w:rPr>
          <w:rStyle w:val="10"/>
          <w:rFonts w:hint="eastAsia" w:ascii="仿宋_GB2312" w:hAnsi="宋体" w:eastAsia="仿宋_GB2312"/>
          <w:color w:val="000000"/>
          <w:sz w:val="32"/>
          <w:szCs w:val="32"/>
          <w:highlight w:val="none"/>
        </w:rPr>
        <w:t>5</w:t>
      </w:r>
      <w:r>
        <w:rPr>
          <w:rStyle w:val="10"/>
          <w:rFonts w:ascii="仿宋_GB2312" w:hAnsi="宋体" w:eastAsia="仿宋_GB2312"/>
          <w:color w:val="000000"/>
          <w:sz w:val="32"/>
          <w:szCs w:val="32"/>
          <w:highlight w:val="none"/>
        </w:rPr>
        <w:t>、严</w:t>
      </w:r>
      <w:r>
        <w:rPr>
          <w:rStyle w:val="10"/>
          <w:rFonts w:ascii="仿宋_GB2312" w:eastAsia="仿宋_GB2312"/>
          <w:kern w:val="0"/>
          <w:sz w:val="32"/>
          <w:szCs w:val="32"/>
          <w:highlight w:val="none"/>
        </w:rPr>
        <w:t>格落实运营期固废污染防治措施。</w:t>
      </w:r>
      <w:r>
        <w:rPr>
          <w:rStyle w:val="10"/>
          <w:rFonts w:hint="eastAsia" w:ascii="仿宋_GB2312" w:eastAsia="仿宋_GB2312"/>
          <w:kern w:val="0"/>
          <w:sz w:val="32"/>
          <w:szCs w:val="32"/>
          <w:highlight w:val="none"/>
        </w:rPr>
        <w:t>各含铁粉尘废气除尘系统收集到的除尘灰采用气力输送到除尘灰仓回用至配料</w:t>
      </w:r>
      <w:r>
        <w:rPr>
          <w:rStyle w:val="10"/>
          <w:rFonts w:ascii="仿宋_GB2312" w:eastAsia="仿宋_GB2312"/>
          <w:kern w:val="0"/>
          <w:sz w:val="32"/>
          <w:szCs w:val="32"/>
          <w:highlight w:val="none"/>
        </w:rPr>
        <w:t>；煤粉制备车间收集的除尘灰回用喷煤系统；脱硫石灰输送过程收集的除尘灰回用至脱硫石灰仓；</w:t>
      </w:r>
      <w:r>
        <w:rPr>
          <w:rStyle w:val="10"/>
          <w:rFonts w:hint="eastAsia" w:ascii="仿宋_GB2312" w:eastAsia="仿宋_GB2312"/>
          <w:kern w:val="0"/>
          <w:sz w:val="32"/>
          <w:szCs w:val="32"/>
          <w:highlight w:val="none"/>
        </w:rPr>
        <w:t>生产过程中产生的干返料（散料、粉料）及不合格生球均返回生产系统再次利用；</w:t>
      </w:r>
      <w:r>
        <w:rPr>
          <w:rStyle w:val="10"/>
          <w:rFonts w:ascii="仿宋_GB2312" w:eastAsia="仿宋_GB2312"/>
          <w:kern w:val="0"/>
          <w:sz w:val="32"/>
          <w:szCs w:val="32"/>
          <w:highlight w:val="none"/>
        </w:rPr>
        <w:t>废滤袋由生产厂家回收利用；脱硫石膏脱水后送建材厂作为原料综合利用，不得外排；废催化剂、废矿物油等危废须及时规范收集，建设危废库，定期交由有资质的单位及时处置，严禁随意堆放，危废暂存库的建设满足《危险废物贮存污染控制标准》（GB18597-2001）及2013年修改单的要求；职工生活垃圾分类收集，清运至环卫部门指定地点合理处置。</w:t>
      </w:r>
    </w:p>
    <w:p>
      <w:pPr>
        <w:spacing w:line="600" w:lineRule="exact"/>
        <w:ind w:firstLine="640" w:firstLineChars="200"/>
        <w:rPr>
          <w:rStyle w:val="10"/>
          <w:rFonts w:ascii="仿宋_GB2312" w:hAnsi="宋体" w:eastAsia="仿宋_GB2312"/>
          <w:sz w:val="32"/>
          <w:szCs w:val="32"/>
          <w:highlight w:val="none"/>
        </w:rPr>
      </w:pPr>
      <w:r>
        <w:rPr>
          <w:rStyle w:val="10"/>
          <w:rFonts w:hint="eastAsia" w:ascii="仿宋_GB2312" w:hAnsi="宋体" w:eastAsia="仿宋_GB2312"/>
          <w:sz w:val="32"/>
          <w:szCs w:val="32"/>
          <w:highlight w:val="none"/>
        </w:rPr>
        <w:t>6</w:t>
      </w:r>
      <w:r>
        <w:rPr>
          <w:rStyle w:val="10"/>
          <w:rFonts w:ascii="仿宋_GB2312" w:hAnsi="宋体" w:eastAsia="仿宋_GB2312"/>
          <w:sz w:val="32"/>
          <w:szCs w:val="32"/>
          <w:highlight w:val="none"/>
        </w:rPr>
        <w:t>、严格落实各项环境风险防范措施。建立健全各项环境管理制度，强化环境风险防范工作，制定运营期规范有效的环境风险应急预案，提高环境风险防范意识与应急能力，定期开展环境风险应急演练，确保环境安全。</w:t>
      </w:r>
    </w:p>
    <w:p>
      <w:pPr>
        <w:snapToGrid w:val="0"/>
        <w:spacing w:line="600" w:lineRule="exact"/>
        <w:ind w:firstLine="640" w:firstLineChars="200"/>
        <w:rPr>
          <w:rStyle w:val="10"/>
          <w:rFonts w:ascii="仿宋_GB2312" w:hAnsi="宋体" w:eastAsia="仿宋_GB2312"/>
          <w:sz w:val="32"/>
          <w:szCs w:val="32"/>
          <w:highlight w:val="none"/>
        </w:rPr>
      </w:pPr>
      <w:r>
        <w:rPr>
          <w:rStyle w:val="10"/>
          <w:rFonts w:hint="eastAsia" w:ascii="仿宋_GB2312" w:hAnsi="宋体" w:eastAsia="仿宋_GB2312"/>
          <w:sz w:val="32"/>
          <w:szCs w:val="32"/>
          <w:highlight w:val="none"/>
        </w:rPr>
        <w:t>7</w:t>
      </w:r>
      <w:r>
        <w:rPr>
          <w:rStyle w:val="10"/>
          <w:rFonts w:ascii="仿宋_GB2312" w:hAnsi="宋体" w:eastAsia="仿宋_GB2312"/>
          <w:sz w:val="32"/>
          <w:szCs w:val="32"/>
          <w:highlight w:val="none"/>
        </w:rPr>
        <w:t>、落实污染物排放总量控制指标。项目产生的污染物排放量须满足忻州市生态环境局繁峙分局核定的总量控制指标，二氧化硫130.3吨/年、氮氧化物186.2吨/年、烟尘37.2吨/年、工业粉尘34.81吨/年。</w:t>
      </w:r>
    </w:p>
    <w:p>
      <w:pPr>
        <w:snapToGrid w:val="0"/>
        <w:spacing w:line="600" w:lineRule="exact"/>
        <w:ind w:firstLine="640" w:firstLineChars="200"/>
        <w:rPr>
          <w:rStyle w:val="10"/>
          <w:rFonts w:ascii="仿宋_GB2312" w:hAnsi="宋体" w:eastAsia="仿宋_GB2312"/>
          <w:sz w:val="32"/>
          <w:szCs w:val="32"/>
          <w:highlight w:val="none"/>
        </w:rPr>
      </w:pPr>
      <w:r>
        <w:rPr>
          <w:rStyle w:val="10"/>
          <w:rFonts w:hint="eastAsia" w:ascii="仿宋_GB2312" w:hAnsi="宋体" w:eastAsia="仿宋_GB2312"/>
          <w:sz w:val="32"/>
          <w:szCs w:val="32"/>
          <w:highlight w:val="none"/>
        </w:rPr>
        <w:t>8</w:t>
      </w:r>
      <w:r>
        <w:rPr>
          <w:rStyle w:val="10"/>
          <w:rFonts w:ascii="仿宋_GB2312" w:hAnsi="宋体" w:eastAsia="仿宋_GB2312"/>
          <w:sz w:val="32"/>
          <w:szCs w:val="32"/>
          <w:highlight w:val="none"/>
        </w:rPr>
        <w:t>、认真履行《报告书》制定的环境管理和监测计划，加强管理，建立运行台帐，规范排污口的建设与管理，在球团焙烧烟囱排口安装烟气在线监测装置，应与环保系统联网，并确保数据实时有效传输。</w:t>
      </w:r>
    </w:p>
    <w:p>
      <w:pPr>
        <w:spacing w:line="600" w:lineRule="exact"/>
        <w:ind w:firstLine="640" w:firstLineChars="200"/>
        <w:rPr>
          <w:rStyle w:val="10"/>
          <w:rFonts w:ascii="仿宋_GB2312" w:eastAsia="仿宋_GB2312"/>
          <w:sz w:val="32"/>
          <w:szCs w:val="32"/>
          <w:highlight w:val="none"/>
        </w:rPr>
      </w:pPr>
      <w:r>
        <w:rPr>
          <w:rStyle w:val="10"/>
          <w:rFonts w:hint="eastAsia" w:ascii="仿宋_GB2312" w:eastAsia="仿宋_GB2312"/>
          <w:sz w:val="32"/>
          <w:szCs w:val="32"/>
          <w:highlight w:val="none"/>
        </w:rPr>
        <w:t>四</w:t>
      </w:r>
      <w:r>
        <w:rPr>
          <w:rStyle w:val="10"/>
          <w:rFonts w:ascii="仿宋_GB2312" w:eastAsia="仿宋_GB2312"/>
          <w:sz w:val="32"/>
          <w:szCs w:val="32"/>
          <w:highlight w:val="none"/>
        </w:rPr>
        <w:t>、做好信息公开。在工程施工和运营过程中，应定期发布环境信息，建立畅通的公众参与平台，加强与周边公众的沟通，主动接受社会监督，并及时解决公众担忧的环境问题，满足公众合理的环境诉求。</w:t>
      </w:r>
    </w:p>
    <w:p>
      <w:pPr>
        <w:spacing w:line="600" w:lineRule="exact"/>
        <w:ind w:firstLine="640" w:firstLineChars="200"/>
        <w:rPr>
          <w:rStyle w:val="10"/>
          <w:rFonts w:ascii="仿宋_GB2312" w:eastAsia="仿宋_GB2312"/>
          <w:sz w:val="32"/>
          <w:szCs w:val="32"/>
          <w:highlight w:val="none"/>
        </w:rPr>
      </w:pPr>
      <w:r>
        <w:rPr>
          <w:rStyle w:val="10"/>
          <w:rFonts w:hint="eastAsia" w:ascii="仿宋_GB2312" w:hAnsi="仿宋_GB2312" w:eastAsia="仿宋_GB2312"/>
          <w:kern w:val="0"/>
          <w:sz w:val="32"/>
          <w:szCs w:val="32"/>
          <w:highlight w:val="none"/>
        </w:rPr>
        <w:t>五</w:t>
      </w:r>
      <w:r>
        <w:rPr>
          <w:rStyle w:val="10"/>
          <w:rFonts w:ascii="仿宋_GB2312" w:hAnsi="仿宋_GB2312" w:eastAsia="仿宋_GB2312"/>
          <w:kern w:val="0"/>
          <w:sz w:val="32"/>
          <w:szCs w:val="32"/>
          <w:highlight w:val="none"/>
        </w:rPr>
        <w:t>、</w:t>
      </w:r>
      <w:r>
        <w:rPr>
          <w:rStyle w:val="10"/>
          <w:rFonts w:ascii="仿宋_GB2312" w:hAnsi="宋体" w:eastAsia="仿宋_GB2312"/>
          <w:sz w:val="32"/>
          <w:szCs w:val="32"/>
          <w:highlight w:val="none"/>
        </w:rPr>
        <w:t>落实污染防治设施必须与主体工程同时设计、同时施工、同时投产使用的“三同时”制度，</w:t>
      </w:r>
      <w:r>
        <w:rPr>
          <w:rStyle w:val="10"/>
          <w:rFonts w:ascii="仿宋_GB2312" w:eastAsia="仿宋_GB2312"/>
          <w:sz w:val="32"/>
          <w:szCs w:val="32"/>
          <w:highlight w:val="none"/>
        </w:rPr>
        <w:t>项目建成后，须按规定程序实施竣工环境保护验收；如项目的性质、规模、地点、采用的生产工艺或者防治污染、防止生态破坏的措施发生重大变动的，应当重新报批建设项目环境影响评价文件；</w:t>
      </w:r>
      <w:r>
        <w:rPr>
          <w:rStyle w:val="10"/>
          <w:rFonts w:ascii="仿宋_GB2312" w:hAnsi="宋体" w:eastAsia="仿宋_GB2312"/>
          <w:sz w:val="32"/>
          <w:szCs w:val="32"/>
          <w:highlight w:val="none"/>
        </w:rPr>
        <w:t>在项目建设、运行过程中产生不符合经审批的环境影响评价文件的情形的，应组织开展环境影响后评价。</w:t>
      </w:r>
    </w:p>
    <w:p>
      <w:pPr>
        <w:spacing w:line="600" w:lineRule="exact"/>
        <w:ind w:firstLine="640" w:firstLineChars="200"/>
        <w:rPr>
          <w:rStyle w:val="10"/>
          <w:rFonts w:ascii="仿宋_GB2312" w:hAnsi="宋体" w:eastAsia="仿宋_GB2312"/>
          <w:sz w:val="32"/>
          <w:szCs w:val="32"/>
          <w:highlight w:val="none"/>
        </w:rPr>
      </w:pPr>
      <w:r>
        <w:rPr>
          <w:rStyle w:val="10"/>
          <w:rFonts w:hint="eastAsia" w:ascii="仿宋_GB2312" w:eastAsia="仿宋_GB2312"/>
          <w:sz w:val="32"/>
          <w:szCs w:val="32"/>
          <w:highlight w:val="none"/>
        </w:rPr>
        <w:t>六</w:t>
      </w:r>
      <w:r>
        <w:rPr>
          <w:rStyle w:val="10"/>
          <w:rFonts w:ascii="仿宋_GB2312" w:eastAsia="仿宋_GB2312"/>
          <w:sz w:val="32"/>
          <w:szCs w:val="32"/>
          <w:highlight w:val="none"/>
        </w:rPr>
        <w:t>、</w:t>
      </w:r>
      <w:r>
        <w:rPr>
          <w:rStyle w:val="10"/>
          <w:rFonts w:ascii="仿宋_GB2312" w:hAnsi="宋体" w:eastAsia="仿宋_GB2312"/>
          <w:sz w:val="32"/>
          <w:szCs w:val="32"/>
          <w:highlight w:val="none"/>
        </w:rPr>
        <w:t>忻州市生态环境局繁峙分局要加强对项目的现场环境监管，确保各项环保措施按《报告书》及本批复要求落实到位。忻州市生态环境保护综合行政执法队负责项目的环境监督检查工作。</w:t>
      </w:r>
    </w:p>
    <w:p>
      <w:pPr>
        <w:spacing w:line="580" w:lineRule="exact"/>
        <w:ind w:firstLine="640" w:firstLineChars="200"/>
        <w:rPr>
          <w:rStyle w:val="10"/>
          <w:rFonts w:ascii="仿宋_GB2312" w:hAnsi="宋体" w:eastAsia="仿宋_GB2312"/>
          <w:sz w:val="32"/>
          <w:szCs w:val="32"/>
          <w:highlight w:val="none"/>
        </w:rPr>
      </w:pPr>
    </w:p>
    <w:p>
      <w:pPr>
        <w:spacing w:line="580" w:lineRule="exact"/>
        <w:ind w:firstLine="640" w:firstLineChars="200"/>
        <w:rPr>
          <w:rStyle w:val="10"/>
          <w:rFonts w:ascii="仿宋_GB2312" w:hAnsi="宋体" w:eastAsia="仿宋_GB2312"/>
          <w:sz w:val="32"/>
          <w:szCs w:val="32"/>
          <w:highlight w:val="none"/>
        </w:rPr>
      </w:pPr>
    </w:p>
    <w:p>
      <w:pPr>
        <w:spacing w:line="560" w:lineRule="exact"/>
        <w:ind w:firstLine="5120" w:firstLineChars="1600"/>
        <w:rPr>
          <w:rStyle w:val="10"/>
          <w:rFonts w:ascii="仿宋_GB2312" w:hAnsi="宋体" w:eastAsia="仿宋_GB2312"/>
          <w:sz w:val="32"/>
          <w:szCs w:val="32"/>
          <w:highlight w:val="none"/>
        </w:rPr>
      </w:pPr>
      <w:r>
        <w:rPr>
          <w:rStyle w:val="10"/>
          <w:rFonts w:ascii="仿宋_GB2312" w:hAnsi="宋体" w:eastAsia="仿宋_GB2312"/>
          <w:sz w:val="32"/>
          <w:szCs w:val="32"/>
          <w:highlight w:val="none"/>
        </w:rPr>
        <w:t>忻州市生态环境局</w:t>
      </w:r>
    </w:p>
    <w:p>
      <w:pPr>
        <w:spacing w:line="560" w:lineRule="exact"/>
        <w:ind w:right="-40" w:firstLine="5216" w:firstLineChars="1630"/>
        <w:rPr>
          <w:rStyle w:val="10"/>
          <w:rFonts w:ascii="仿宋_GB2312" w:hAnsi="宋体" w:eastAsia="仿宋_GB2312"/>
          <w:sz w:val="32"/>
          <w:szCs w:val="32"/>
          <w:highlight w:val="none"/>
        </w:rPr>
      </w:pPr>
      <w:r>
        <w:rPr>
          <w:rStyle w:val="10"/>
          <w:rFonts w:ascii="仿宋_GB2312" w:hAnsi="宋体" w:eastAsia="仿宋_GB2312"/>
          <w:sz w:val="32"/>
          <w:szCs w:val="32"/>
          <w:highlight w:val="none"/>
        </w:rPr>
        <w:t>2020年7月</w:t>
      </w:r>
      <w:r>
        <w:rPr>
          <w:rStyle w:val="10"/>
          <w:rFonts w:hint="eastAsia" w:ascii="仿宋_GB2312" w:hAnsi="宋体" w:eastAsia="仿宋_GB2312"/>
          <w:sz w:val="32"/>
          <w:szCs w:val="32"/>
          <w:highlight w:val="none"/>
          <w:lang w:val="en-US" w:eastAsia="zh-CN"/>
        </w:rPr>
        <w:t>28</w:t>
      </w:r>
      <w:r>
        <w:rPr>
          <w:rStyle w:val="10"/>
          <w:rFonts w:ascii="仿宋_GB2312" w:hAnsi="宋体" w:eastAsia="仿宋_GB2312"/>
          <w:sz w:val="32"/>
          <w:szCs w:val="32"/>
          <w:highlight w:val="none"/>
        </w:rPr>
        <w:t>日</w:t>
      </w:r>
    </w:p>
    <w:p>
      <w:pPr>
        <w:spacing w:line="600" w:lineRule="exact"/>
        <w:ind w:right="-42" w:firstLine="5280" w:firstLineChars="1650"/>
        <w:rPr>
          <w:rStyle w:val="10"/>
          <w:rFonts w:ascii="仿宋_GB2312" w:hAnsi="宋体" w:eastAsia="仿宋_GB2312"/>
          <w:sz w:val="32"/>
          <w:szCs w:val="32"/>
          <w:highlight w:val="none"/>
        </w:rPr>
      </w:pPr>
    </w:p>
    <w:p>
      <w:pPr>
        <w:spacing w:line="600" w:lineRule="exact"/>
        <w:ind w:right="-42"/>
        <w:rPr>
          <w:rStyle w:val="10"/>
          <w:rFonts w:ascii="仿宋_GB2312" w:hAnsi="宋体" w:eastAsia="仿宋_GB2312"/>
          <w:sz w:val="32"/>
          <w:szCs w:val="32"/>
          <w:highlight w:val="none"/>
        </w:rPr>
      </w:pPr>
    </w:p>
    <w:p>
      <w:pPr>
        <w:spacing w:line="600" w:lineRule="exact"/>
        <w:ind w:right="-42"/>
        <w:rPr>
          <w:rStyle w:val="10"/>
          <w:rFonts w:ascii="仿宋_GB2312" w:hAnsi="宋体" w:eastAsia="仿宋_GB2312"/>
          <w:sz w:val="32"/>
          <w:szCs w:val="32"/>
          <w:highlight w:val="none"/>
        </w:rPr>
      </w:pPr>
    </w:p>
    <w:p>
      <w:pPr>
        <w:spacing w:line="600" w:lineRule="exact"/>
        <w:ind w:right="-42"/>
        <w:rPr>
          <w:rStyle w:val="10"/>
          <w:rFonts w:ascii="仿宋_GB2312" w:hAnsi="宋体" w:eastAsia="仿宋_GB2312"/>
          <w:sz w:val="32"/>
          <w:szCs w:val="32"/>
          <w:highlight w:val="none"/>
        </w:rPr>
      </w:pPr>
    </w:p>
    <w:p>
      <w:pPr>
        <w:spacing w:line="600" w:lineRule="exact"/>
        <w:ind w:right="-42"/>
        <w:rPr>
          <w:rStyle w:val="10"/>
          <w:rFonts w:ascii="仿宋_GB2312" w:hAnsi="宋体" w:eastAsia="仿宋_GB2312"/>
          <w:sz w:val="32"/>
          <w:szCs w:val="32"/>
          <w:highlight w:val="none"/>
        </w:rPr>
      </w:pPr>
    </w:p>
    <w:p>
      <w:pPr>
        <w:spacing w:line="600" w:lineRule="exact"/>
        <w:ind w:right="-42"/>
        <w:rPr>
          <w:rStyle w:val="10"/>
          <w:rFonts w:ascii="仿宋_GB2312" w:hAnsi="宋体" w:eastAsia="仿宋_GB2312"/>
          <w:sz w:val="32"/>
          <w:szCs w:val="32"/>
          <w:highlight w:val="none"/>
        </w:rPr>
      </w:pPr>
    </w:p>
    <w:p>
      <w:pPr>
        <w:spacing w:line="600" w:lineRule="exact"/>
        <w:ind w:right="-42"/>
        <w:rPr>
          <w:rStyle w:val="10"/>
          <w:rFonts w:ascii="仿宋_GB2312" w:hAnsi="宋体" w:eastAsia="仿宋_GB2312"/>
          <w:sz w:val="32"/>
          <w:szCs w:val="32"/>
          <w:highlight w:val="none"/>
        </w:rPr>
      </w:pPr>
    </w:p>
    <w:p>
      <w:pPr>
        <w:spacing w:line="600" w:lineRule="exact"/>
        <w:ind w:right="-42"/>
        <w:rPr>
          <w:rStyle w:val="10"/>
          <w:rFonts w:ascii="仿宋_GB2312" w:hAnsi="宋体" w:eastAsia="仿宋_GB2312"/>
          <w:sz w:val="32"/>
          <w:szCs w:val="32"/>
          <w:highlight w:val="none"/>
        </w:rPr>
      </w:pPr>
    </w:p>
    <w:p>
      <w:pPr>
        <w:spacing w:line="600" w:lineRule="exact"/>
        <w:ind w:right="-42"/>
        <w:rPr>
          <w:rStyle w:val="10"/>
          <w:rFonts w:ascii="仿宋_GB2312" w:hAnsi="宋体" w:eastAsia="仿宋_GB2312"/>
          <w:sz w:val="32"/>
          <w:szCs w:val="32"/>
          <w:highlight w:val="none"/>
        </w:rPr>
      </w:pPr>
    </w:p>
    <w:p>
      <w:pPr>
        <w:spacing w:line="560" w:lineRule="exact"/>
        <w:ind w:left="960" w:hanging="960" w:hangingChars="300"/>
        <w:rPr>
          <w:rStyle w:val="10"/>
          <w:highlight w:val="none"/>
        </w:rPr>
      </w:pPr>
      <w:r>
        <w:rPr>
          <w:rStyle w:val="10"/>
          <w:rFonts w:ascii="仿宋_GB2312" w:hAnsi="宋体" w:eastAsia="仿宋_GB2312"/>
          <w:sz w:val="32"/>
          <w:szCs w:val="32"/>
          <w:highlight w:val="none"/>
        </w:rPr>
        <w:t>抄送：忻州市生态环境保护综合行政执法队，忻州市生态环境局监控中心，忻州市生态环境局繁峙分局，黄冈翱翔环保科技有限公司。</w:t>
      </w:r>
    </w:p>
    <w:sectPr>
      <w:headerReference r:id="rId3" w:type="default"/>
      <w:footerReference r:id="rId4" w:type="default"/>
      <w:footerReference r:id="rId5" w:type="even"/>
      <w:pgSz w:w="11906" w:h="16838"/>
      <w:pgMar w:top="1440" w:right="1474" w:bottom="85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outside" w:y="1"/>
      <w:rPr>
        <w:rStyle w:val="12"/>
      </w:rPr>
    </w:pPr>
  </w:p>
  <w:p>
    <w:pPr>
      <w:pStyle w:val="4"/>
      <w:ind w:right="360" w:firstLine="360"/>
      <w:rPr>
        <w:rStyle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C17179"/>
    <w:rsid w:val="000A44EB"/>
    <w:rsid w:val="000B457D"/>
    <w:rsid w:val="00163B5C"/>
    <w:rsid w:val="0027646D"/>
    <w:rsid w:val="0032089F"/>
    <w:rsid w:val="005C1221"/>
    <w:rsid w:val="00636E36"/>
    <w:rsid w:val="00956AA5"/>
    <w:rsid w:val="00C17179"/>
    <w:rsid w:val="00CE0BE5"/>
    <w:rsid w:val="01D86C0C"/>
    <w:rsid w:val="0D0632BF"/>
    <w:rsid w:val="0D571C3C"/>
    <w:rsid w:val="13E815D2"/>
    <w:rsid w:val="15A34D60"/>
    <w:rsid w:val="16D37A04"/>
    <w:rsid w:val="1880695D"/>
    <w:rsid w:val="1A643B50"/>
    <w:rsid w:val="1C8A0813"/>
    <w:rsid w:val="1C903094"/>
    <w:rsid w:val="2C6445EA"/>
    <w:rsid w:val="2D5D46E8"/>
    <w:rsid w:val="2F302ADD"/>
    <w:rsid w:val="321D46BB"/>
    <w:rsid w:val="32283D50"/>
    <w:rsid w:val="410150D7"/>
    <w:rsid w:val="413D2FEA"/>
    <w:rsid w:val="47325B9B"/>
    <w:rsid w:val="4FC06DE7"/>
    <w:rsid w:val="5B275588"/>
    <w:rsid w:val="5F2C5332"/>
    <w:rsid w:val="61E13210"/>
    <w:rsid w:val="68BA79C9"/>
    <w:rsid w:val="6EA6773B"/>
    <w:rsid w:val="75132EE4"/>
    <w:rsid w:val="78F159FF"/>
    <w:rsid w:val="79BE2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6"/>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annotation subject"/>
    <w:basedOn w:val="2"/>
    <w:next w:val="2"/>
    <w:link w:val="15"/>
    <w:uiPriority w:val="0"/>
    <w:rPr>
      <w:b/>
      <w:bCs/>
    </w:rPr>
  </w:style>
  <w:style w:type="character" w:styleId="9">
    <w:name w:val="annotation reference"/>
    <w:basedOn w:val="8"/>
    <w:uiPriority w:val="0"/>
    <w:rPr>
      <w:sz w:val="21"/>
      <w:szCs w:val="21"/>
    </w:rPr>
  </w:style>
  <w:style w:type="character" w:customStyle="1" w:styleId="10">
    <w:name w:val="NormalCharacter"/>
    <w:semiHidden/>
    <w:qFormat/>
    <w:uiPriority w:val="0"/>
  </w:style>
  <w:style w:type="table" w:customStyle="1" w:styleId="11">
    <w:name w:val="TableNormal"/>
    <w:semiHidden/>
    <w:qFormat/>
    <w:uiPriority w:val="0"/>
    <w:tblPr>
      <w:tblCellMar>
        <w:top w:w="0" w:type="dxa"/>
        <w:left w:w="0" w:type="dxa"/>
        <w:bottom w:w="0" w:type="dxa"/>
        <w:right w:w="0" w:type="dxa"/>
      </w:tblCellMar>
    </w:tblPr>
  </w:style>
  <w:style w:type="character" w:customStyle="1" w:styleId="12">
    <w:name w:val="PageNumber"/>
    <w:basedOn w:val="10"/>
    <w:qFormat/>
    <w:uiPriority w:val="0"/>
  </w:style>
  <w:style w:type="paragraph" w:customStyle="1" w:styleId="13">
    <w:name w:val="PlainText"/>
    <w:basedOn w:val="1"/>
    <w:qFormat/>
    <w:uiPriority w:val="0"/>
    <w:rPr>
      <w:rFonts w:ascii="宋体" w:hAnsi="Courier New"/>
      <w:szCs w:val="20"/>
    </w:rPr>
  </w:style>
  <w:style w:type="character" w:customStyle="1" w:styleId="14">
    <w:name w:val="批注文字 Char"/>
    <w:basedOn w:val="8"/>
    <w:link w:val="2"/>
    <w:uiPriority w:val="0"/>
    <w:rPr>
      <w:rFonts w:cstheme="minorBidi"/>
      <w:kern w:val="2"/>
      <w:sz w:val="21"/>
      <w:szCs w:val="24"/>
    </w:rPr>
  </w:style>
  <w:style w:type="character" w:customStyle="1" w:styleId="15">
    <w:name w:val="批注主题 Char"/>
    <w:basedOn w:val="14"/>
    <w:link w:val="6"/>
    <w:uiPriority w:val="0"/>
    <w:rPr>
      <w:b/>
      <w:bCs/>
    </w:rPr>
  </w:style>
  <w:style w:type="character" w:customStyle="1" w:styleId="16">
    <w:name w:val="批注框文本 Char"/>
    <w:basedOn w:val="8"/>
    <w:link w:val="3"/>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43627-80DA-490A-880F-111C5F9E512D}">
  <ds:schemaRefs/>
</ds:datastoreItem>
</file>

<file path=docProps/app.xml><?xml version="1.0" encoding="utf-8"?>
<Properties xmlns="http://schemas.openxmlformats.org/officeDocument/2006/extended-properties" xmlns:vt="http://schemas.openxmlformats.org/officeDocument/2006/docPropsVTypes">
  <Template>Normal</Template>
  <Pages>6</Pages>
  <Words>392</Words>
  <Characters>2237</Characters>
  <Lines>18</Lines>
  <Paragraphs>5</Paragraphs>
  <TotalTime>15</TotalTime>
  <ScaleCrop>false</ScaleCrop>
  <LinksUpToDate>false</LinksUpToDate>
  <CharactersWithSpaces>2624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2020-07-28T22:55:00Z</dcterms:created>
  <dc:creator>dell</dc:creator>
  <cp:lastModifiedBy>夏夏</cp:lastModifiedBy>
  <cp:lastPrinted>2020-07-29T01:46:14Z</cp:lastPrinted>
  <dcterms:modified xsi:type="dcterms:W3CDTF">2020-07-29T01:47:19Z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