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忻州市生态环境保护综合行政执法队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firstLine="2168" w:firstLineChars="6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2022年度预算公开情况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目   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第一部分 机构职能及基本情况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主要职能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二、机构设置情况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第二部分  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年度预算情况说明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一、202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年年度预算收支情况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二、“三公”经费支出情况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三、机关运行经费执行情况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四、政府采购情况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五、国有资产占有情况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六、项目预算绩效目标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第三部分  名词解释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第四部分  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年度部门预算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firstLine="1928" w:firstLineChars="6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根据忻州市财政局《关于批复20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年市级预算的通知》（忻财预〔20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号文件要求，我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就20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年度基本支出和项目支出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情况公开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主要职能职责及机构设置情况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2" w:firstLineChars="200"/>
        <w:textAlignment w:val="auto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主要职责职能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据《中共忻州市委、忻州市人民政府关于印发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忻州市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生态环境保护综合行政执法队职能配置、内设机构和人员编制规定》的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通知(忻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办字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[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]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号),设立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市生态环境局管理的副处级事业单位，主要职责：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受市生态环境局的委托，依法统一行使污染防治、生态保护、核与辐射安全的行政处罚权以及与行政处罚相关的行政检查、行政强制权。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承担全市生态环境保护综合行政执法工作的业务指导、组织协调和考核评价等工作。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承担开展跨区域、跨流域生态环境保护执法检查工作。承担跨区域、典型及重大环境违法行为案件的查处工作。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承担12369环保热线管理工作，承担生态环境污染举报曼理、转办、督办、审核和回复工作，承担生态环境污染举报窦件查处情况的督查考核工作。参与跨区域生态环境污染纠纷协调解决工作。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参与较大以上、跨区域突发生态环境事件、核与辐射环境事故和环境污染事故的现场调查处置工作。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会同有关部门执法机构建立健全协作机制，开展生态环境保护联合执法工作。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协助税务部门开展环境税征收工作。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承担忻州经济开发区、忻府区范围内的生态环境保护综合行政执法工作。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  <w:t>承担生态环境保护等方面的法律法规规章的普法宣传等工作。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完成市生态环境局交办的其他任务。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2．组织架构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忻州市生态环境保护综合行政执法队内设职能部门个数12个。内设机构(副科级):办公室、综合执法科、稽查科、处罚科、技术保障执法科、事故处理中心、执法一中队、执法二中队、执法三中队、执法四中队、执法五中队、忻府中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 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度部门预算情况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1、2022年度预算收支情况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年预算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496.22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万元，其中: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20805行政事业单位养老35.36万元；21011行政事业单位医疗14.47万元；人员及运转类公用315.26万元；22102住房公积金支出31.13万元。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其他运转类项目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100万元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纳入市级财政预决算管理的“三公”经费，是指市级部门用财政拨款安排的因公出国（境）费、公务接待费和公务用车费支出的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经费。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年“三公”预算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万元，其中：出国出境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万元，公车用行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维护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万元；公务接待费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2022年比2021年三公经费预算减少2万元。主要是公车运行费，部分车辆年久失修，待报废。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Chars="200" w:right="0" w:rightChars="0" w:firstLine="321" w:firstLineChars="10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3、运行经费情况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运行经费预算批复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70.77万元，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本着预算先行，计划做实，严格先审批后支付，从紧开支，严格把关。主要用于公务用车运行费、其他交通费用、会议费、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培训费、单位采暖费、工会经费、福利费、电费、差旅费等。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、政府采购情况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忻州市财政局《关于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2021年度集中采购目录及采购限额标准》（忻财购〔2021〕2号）要求，待2022年政府采购新目录文件下发后，按照新采购目录执行。按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货物、工程、服务类项目严格把关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，做到预算在先，支出再后，保质量，谈价格，为单位做到励行节约。预算的印刷费、公务用车维修费、车辆保险、网络租赁费一律按要求采购办理。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Chars="200" w:right="0" w:rightChars="0" w:firstLine="321" w:firstLineChars="10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绩效管理情况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2022年预算批复其他运转类项目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个，预算经费100万元，主要用于环境执法工作经费。在预算绩效系统分别填报了实施目标，绩效目标、产出指标（包括数量指标、质量指标、时效指标）、社会效益指标及满意度指标。并按照实施期目标严格执行，年终对项目进行综合考评。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国有资产占有使用情况</w:t>
      </w:r>
    </w:p>
    <w:p>
      <w:pPr>
        <w:pStyle w:val="2"/>
        <w:shd w:val="clear" w:color="auto" w:fill="FFFFFF"/>
        <w:spacing w:beforeAutospacing="0" w:afterAutospacing="0" w:line="450" w:lineRule="atLeast"/>
        <w:ind w:right="315" w:rightChars="15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年初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</w:rPr>
        <w:t>资产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合计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767.86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万元，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</w:rPr>
        <w:t>通用设备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755.21万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</w:rPr>
        <w:t>元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；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</w:rPr>
        <w:t>家具用具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12.65万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</w:rPr>
        <w:t>元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numPr>
          <w:ilvl w:val="0"/>
          <w:numId w:val="4"/>
        </w:numPr>
        <w:shd w:val="clear" w:color="auto" w:fill="FFFFFF"/>
        <w:spacing w:beforeAutospacing="0" w:afterAutospacing="0" w:line="450" w:lineRule="atLeast"/>
        <w:ind w:left="0" w:leftChars="0" w:right="315" w:rightChars="150" w:firstLine="643" w:firstLineChars="200"/>
        <w:jc w:val="both"/>
        <w:rPr>
          <w:rStyle w:val="5"/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政府性基金预算收支情况</w:t>
      </w:r>
    </w:p>
    <w:p>
      <w:pPr>
        <w:pStyle w:val="2"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leftChars="200" w:right="315" w:rightChars="150"/>
        <w:jc w:val="both"/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部门政府性基金预算收支已公示空表。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解释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年初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拨款收入：指市级财政当年拨付的资金。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2、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基本支出：指为保障机构正常运转、完成日常工作任务而发生的人员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支出和公用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支出。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项目支出：是指基本支出以外为完成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专项项目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行政和事业发展目标所发生的支出。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“三公”经费：纳入市级财政预决算管理的“三公”经费，是指市级部门用财政拨款安排的因公出国（境）费、公务接待费和公务用车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运行维护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费支出的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项目预算的绩效目标等预算绩效情况说明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资金使用方面按照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预算功能和经济科目列支及财政部门规定的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相关财政制度及政府采购程序，合理合法、公正透明，让资金发挥了应有的效益；项目运行方面按照绩效目标合理掌握，起到预期效果。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2022年度预算公开报表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忻州市生态环境保护综合行政执法队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2022年3月17日</w:t>
      </w:r>
    </w:p>
    <w:p>
      <w:pPr>
        <w:pStyle w:val="2"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leftChars="200" w:right="315" w:rightChars="150"/>
        <w:jc w:val="both"/>
        <w:rPr>
          <w:rStyle w:val="5"/>
          <w:rFonts w:hint="default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Autospacing="0" w:afterAutospacing="0" w:line="450" w:lineRule="atLeast"/>
        <w:ind w:right="315" w:rightChars="150" w:firstLine="640" w:firstLineChars="200"/>
        <w:jc w:val="both"/>
        <w:rPr>
          <w:rStyle w:val="5"/>
          <w:rFonts w:hint="default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right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Chars="0" w:right="0" w:rightChars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396F8"/>
    <w:multiLevelType w:val="singleLevel"/>
    <w:tmpl w:val="8FF396F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455C18F"/>
    <w:multiLevelType w:val="singleLevel"/>
    <w:tmpl w:val="D455C1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7C0B56D"/>
    <w:multiLevelType w:val="singleLevel"/>
    <w:tmpl w:val="07C0B5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839867F"/>
    <w:multiLevelType w:val="singleLevel"/>
    <w:tmpl w:val="3839867F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MDE1MzI2ZWVkNmQwM2UyMjYzMmI1NTk0N2FhNzQifQ=="/>
  </w:docVars>
  <w:rsids>
    <w:rsidRoot w:val="1DEF7606"/>
    <w:rsid w:val="1DEF7606"/>
    <w:rsid w:val="6BCC191E"/>
    <w:rsid w:val="739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Char Char"/>
    <w:basedOn w:val="1"/>
    <w:uiPriority w:val="0"/>
    <w:rPr>
      <w:rFonts w:ascii="Tahoma" w:hAnsi="Tahoma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1897</Words>
  <Characters>2034</Characters>
  <Lines>0</Lines>
  <Paragraphs>0</Paragraphs>
  <TotalTime>22</TotalTime>
  <ScaleCrop>false</ScaleCrop>
  <LinksUpToDate>false</LinksUpToDate>
  <CharactersWithSpaces>2180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2022-09-08T01:15:00Z</dcterms:created>
  <dc:creator>acer</dc:creator>
  <cp:lastModifiedBy>acer</cp:lastModifiedBy>
  <dcterms:modified xsi:type="dcterms:W3CDTF">2022-09-09T08:23:37Z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FA8FC3DA22FA498DA18E96BF3D325B38</vt:lpwstr>
  </property>
</Properties>
</file>